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616D" w14:textId="77777777" w:rsidR="00CD3ABE" w:rsidRDefault="00CC2D89" w:rsidP="00FB2A89">
      <w:pPr>
        <w:pStyle w:val="Heading1"/>
        <w:rPr>
          <w:sz w:val="48"/>
          <w:szCs w:val="48"/>
        </w:rPr>
      </w:pPr>
      <w:bookmarkStart w:id="0" w:name="_Toc512938568"/>
      <w:r w:rsidRPr="005535F6">
        <w:rPr>
          <w:sz w:val="48"/>
          <w:szCs w:val="48"/>
        </w:rPr>
        <w:t>[</w:t>
      </w:r>
      <w:r w:rsidR="00B42E2F">
        <w:rPr>
          <w:sz w:val="48"/>
          <w:szCs w:val="48"/>
          <w:lang w:val="en-US"/>
        </w:rPr>
        <w:t>William S. Hein &amp; Co., Inc.</w:t>
      </w:r>
      <w:r w:rsidRPr="005535F6">
        <w:rPr>
          <w:sz w:val="48"/>
          <w:szCs w:val="48"/>
        </w:rPr>
        <w:t>] Accessibility Conformance Report</w:t>
      </w:r>
      <w:bookmarkEnd w:id="0"/>
    </w:p>
    <w:p w14:paraId="12A23332" w14:textId="77777777" w:rsidR="00821525" w:rsidRPr="00821525" w:rsidRDefault="00E02AAE" w:rsidP="00FB2A89">
      <w:pPr>
        <w:pStyle w:val="Heading1"/>
        <w:rPr>
          <w:lang w:val="en-US"/>
        </w:rPr>
      </w:pPr>
      <w:bookmarkStart w:id="1" w:name="_Toc512938569"/>
      <w:r>
        <w:rPr>
          <w:sz w:val="48"/>
          <w:szCs w:val="48"/>
          <w:lang w:val="en-US"/>
        </w:rPr>
        <w:t>Revised Section 508</w:t>
      </w:r>
      <w:r w:rsidR="00821525">
        <w:rPr>
          <w:sz w:val="48"/>
          <w:szCs w:val="48"/>
          <w:lang w:val="en-US"/>
        </w:rPr>
        <w:t xml:space="preserve"> Edition</w:t>
      </w:r>
      <w:bookmarkEnd w:id="1"/>
    </w:p>
    <w:p w14:paraId="7392B929" w14:textId="77777777" w:rsidR="0016220D" w:rsidRPr="00D67F40" w:rsidRDefault="00784C34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E43B5C">
        <w:rPr>
          <w:rFonts w:ascii="Arial" w:hAnsi="Arial" w:cs="Arial"/>
          <w:b/>
        </w:rPr>
        <w:t>3</w:t>
      </w:r>
      <w:r w:rsidR="006605BD">
        <w:rPr>
          <w:rFonts w:ascii="Arial" w:hAnsi="Arial" w:cs="Arial"/>
          <w:b/>
        </w:rPr>
        <w:t xml:space="preserve"> (Revised)</w:t>
      </w:r>
      <w:r w:rsidR="00E43B5C">
        <w:rPr>
          <w:rFonts w:ascii="Arial" w:hAnsi="Arial" w:cs="Arial"/>
          <w:b/>
        </w:rPr>
        <w:t xml:space="preserve"> </w:t>
      </w:r>
      <w:r w:rsidR="0016220D">
        <w:rPr>
          <w:rFonts w:ascii="Arial" w:hAnsi="Arial" w:cs="Arial"/>
          <w:b/>
        </w:rPr>
        <w:t xml:space="preserve">– </w:t>
      </w:r>
      <w:r w:rsidR="00CC07A1">
        <w:rPr>
          <w:rFonts w:ascii="Arial" w:hAnsi="Arial" w:cs="Arial"/>
          <w:b/>
        </w:rPr>
        <w:t xml:space="preserve">April </w:t>
      </w:r>
      <w:r w:rsidR="006605BD">
        <w:rPr>
          <w:rFonts w:ascii="Arial" w:hAnsi="Arial" w:cs="Arial"/>
          <w:b/>
        </w:rPr>
        <w:t>2019</w:t>
      </w:r>
    </w:p>
    <w:p w14:paraId="5ED65C58" w14:textId="77777777" w:rsidR="007B6071" w:rsidRPr="006D6EF9" w:rsidRDefault="005A14C2" w:rsidP="00FB2A89">
      <w:pPr>
        <w:pStyle w:val="Heading2"/>
        <w:rPr>
          <w:lang w:val="en-US"/>
        </w:rPr>
      </w:pPr>
      <w:bookmarkStart w:id="2" w:name="_Toc512938570"/>
      <w:r w:rsidRPr="005A14C2">
        <w:t>Name of Product</w:t>
      </w:r>
      <w:r w:rsidR="007B6071">
        <w:t>/Version</w:t>
      </w:r>
      <w:r w:rsidRPr="005A14C2">
        <w:t>:</w:t>
      </w:r>
      <w:bookmarkEnd w:id="2"/>
      <w:r w:rsidR="00FA5F7F">
        <w:t xml:space="preserve"> </w:t>
      </w:r>
      <w:r w:rsidR="006D6EF9" w:rsidRPr="006D6EF9">
        <w:rPr>
          <w:b w:val="0"/>
          <w:sz w:val="24"/>
          <w:szCs w:val="24"/>
          <w:lang w:val="en-US"/>
        </w:rPr>
        <w:t>HeinOnline</w:t>
      </w:r>
    </w:p>
    <w:p w14:paraId="60A17EF3" w14:textId="77777777" w:rsidR="005A14C2" w:rsidRPr="006D6EF9" w:rsidRDefault="007B6071" w:rsidP="00FB2A89">
      <w:pPr>
        <w:pStyle w:val="Heading2"/>
        <w:rPr>
          <w:lang w:val="en-US"/>
        </w:rPr>
      </w:pPr>
      <w:bookmarkStart w:id="3" w:name="_Toc512938571"/>
      <w:r>
        <w:t>Product Description:</w:t>
      </w:r>
      <w:bookmarkEnd w:id="3"/>
      <w:r w:rsidR="005A14C2" w:rsidRPr="005A14C2">
        <w:t xml:space="preserve"> </w:t>
      </w:r>
      <w:r w:rsidR="006D6EF9" w:rsidRPr="006D6EF9">
        <w:rPr>
          <w:b w:val="0"/>
          <w:sz w:val="24"/>
          <w:szCs w:val="24"/>
          <w:lang w:val="en-US"/>
        </w:rPr>
        <w:t>Online Legal Research Database</w:t>
      </w:r>
    </w:p>
    <w:p w14:paraId="2E900818" w14:textId="5DE3FDDF" w:rsidR="005A14C2" w:rsidRPr="006D6EF9" w:rsidRDefault="00506C8C" w:rsidP="00FB2A89">
      <w:pPr>
        <w:pStyle w:val="Heading2"/>
        <w:rPr>
          <w:lang w:val="en-US"/>
        </w:rPr>
      </w:pPr>
      <w:bookmarkStart w:id="4" w:name="_Toc512938572"/>
      <w:r>
        <w:rPr>
          <w:lang w:val="en-US"/>
        </w:rPr>
        <w:t xml:space="preserve">Report </w:t>
      </w:r>
      <w:r w:rsidR="005A14C2" w:rsidRPr="005A14C2">
        <w:t>Date:</w:t>
      </w:r>
      <w:bookmarkEnd w:id="4"/>
      <w:r w:rsidR="005A14C2" w:rsidRPr="005A14C2">
        <w:t xml:space="preserve"> </w:t>
      </w:r>
      <w:r w:rsidR="00D32E80">
        <w:rPr>
          <w:b w:val="0"/>
          <w:sz w:val="24"/>
          <w:szCs w:val="24"/>
          <w:lang w:val="en-US"/>
        </w:rPr>
        <w:t>13</w:t>
      </w:r>
      <w:r w:rsidR="00B567BF">
        <w:rPr>
          <w:b w:val="0"/>
          <w:sz w:val="24"/>
          <w:szCs w:val="24"/>
          <w:lang w:val="en-US"/>
        </w:rPr>
        <w:t xml:space="preserve"> </w:t>
      </w:r>
      <w:r w:rsidR="00D32E80">
        <w:rPr>
          <w:b w:val="0"/>
          <w:sz w:val="24"/>
          <w:szCs w:val="24"/>
          <w:lang w:val="en-US"/>
        </w:rPr>
        <w:t>November</w:t>
      </w:r>
      <w:r w:rsidR="00B567BF">
        <w:rPr>
          <w:b w:val="0"/>
          <w:sz w:val="24"/>
          <w:szCs w:val="24"/>
          <w:lang w:val="en-US"/>
        </w:rPr>
        <w:t xml:space="preserve"> 2023</w:t>
      </w:r>
    </w:p>
    <w:p w14:paraId="6693560F" w14:textId="77777777" w:rsidR="005A14C2" w:rsidRPr="006D6EF9" w:rsidRDefault="005A14C2" w:rsidP="00FB2A89">
      <w:pPr>
        <w:pStyle w:val="Heading2"/>
        <w:rPr>
          <w:lang w:val="en-US"/>
        </w:rPr>
      </w:pPr>
      <w:bookmarkStart w:id="5" w:name="_Toc512938573"/>
      <w:r w:rsidRPr="005A14C2">
        <w:t xml:space="preserve">Contact </w:t>
      </w:r>
      <w:r w:rsidR="00CC07A1">
        <w:rPr>
          <w:lang w:val="en-US"/>
        </w:rPr>
        <w:t>Information</w:t>
      </w:r>
      <w:r w:rsidRPr="005A14C2">
        <w:t>:</w:t>
      </w:r>
      <w:bookmarkEnd w:id="5"/>
      <w:r w:rsidR="006D6EF9">
        <w:t xml:space="preserve"> </w:t>
      </w:r>
      <w:r w:rsidR="006D6EF9" w:rsidRPr="006D6EF9">
        <w:rPr>
          <w:b w:val="0"/>
          <w:sz w:val="24"/>
          <w:szCs w:val="24"/>
        </w:rPr>
        <w:t>holsupport@wshein.com</w:t>
      </w:r>
    </w:p>
    <w:p w14:paraId="3D597962" w14:textId="77777777" w:rsidR="006D6EF9" w:rsidRDefault="00FA5F7F" w:rsidP="00FA5F7F">
      <w:pPr>
        <w:pStyle w:val="Heading2"/>
        <w:rPr>
          <w:b w:val="0"/>
          <w:lang w:val="en-US"/>
        </w:rPr>
      </w:pPr>
      <w:bookmarkStart w:id="6" w:name="_Toc512938575"/>
      <w:r>
        <w:t>Evaluation Methods Used:</w:t>
      </w:r>
      <w:bookmarkEnd w:id="6"/>
      <w:r w:rsidRPr="00FA5F7F">
        <w:rPr>
          <w:b w:val="0"/>
        </w:rPr>
        <w:t xml:space="preserve"> </w:t>
      </w:r>
    </w:p>
    <w:p w14:paraId="2C9268B7" w14:textId="77777777" w:rsidR="00E91B58" w:rsidRPr="006D6EF9" w:rsidRDefault="006D6EF9" w:rsidP="006D6EF9">
      <w:pPr>
        <w:pStyle w:val="Heading2"/>
        <w:numPr>
          <w:ilvl w:val="0"/>
          <w:numId w:val="40"/>
        </w:numPr>
        <w:rPr>
          <w:b w:val="0"/>
          <w:sz w:val="24"/>
          <w:szCs w:val="24"/>
        </w:rPr>
      </w:pPr>
      <w:r w:rsidRPr="006D6EF9">
        <w:rPr>
          <w:b w:val="0"/>
          <w:sz w:val="24"/>
          <w:szCs w:val="24"/>
        </w:rPr>
        <w:t>Testing is based on general product knowledge.</w:t>
      </w:r>
    </w:p>
    <w:p w14:paraId="07C7EC3B" w14:textId="77777777" w:rsidR="006D6EF9" w:rsidRPr="006D6EF9" w:rsidRDefault="006D6EF9" w:rsidP="006D6EF9">
      <w:pPr>
        <w:pStyle w:val="Heading2"/>
        <w:numPr>
          <w:ilvl w:val="0"/>
          <w:numId w:val="40"/>
        </w:numPr>
        <w:rPr>
          <w:b w:val="0"/>
          <w:sz w:val="24"/>
          <w:szCs w:val="24"/>
        </w:rPr>
      </w:pPr>
      <w:r w:rsidRPr="006D6EF9">
        <w:rPr>
          <w:b w:val="0"/>
          <w:sz w:val="24"/>
          <w:szCs w:val="24"/>
        </w:rPr>
        <w:t>Testing with assistive technologies (including screen reader; screen magnification; contrast switching; keyboard; speech recognition)</w:t>
      </w:r>
    </w:p>
    <w:p w14:paraId="1BBE4C4F" w14:textId="77777777" w:rsidR="006D6EF9" w:rsidRPr="006D6EF9" w:rsidRDefault="006D6EF9" w:rsidP="006D6EF9">
      <w:pPr>
        <w:pStyle w:val="Heading2"/>
        <w:numPr>
          <w:ilvl w:val="0"/>
          <w:numId w:val="40"/>
        </w:numPr>
        <w:rPr>
          <w:b w:val="0"/>
          <w:sz w:val="24"/>
          <w:szCs w:val="24"/>
        </w:rPr>
      </w:pPr>
      <w:r w:rsidRPr="006D6EF9">
        <w:rPr>
          <w:b w:val="0"/>
          <w:sz w:val="24"/>
          <w:szCs w:val="24"/>
        </w:rPr>
        <w:t>Testing with automated accessibility testing tools.</w:t>
      </w:r>
    </w:p>
    <w:p w14:paraId="6E822101" w14:textId="77777777" w:rsidR="006F413B" w:rsidRDefault="007B6071" w:rsidP="00FB2A89">
      <w:pPr>
        <w:pStyle w:val="Heading2"/>
      </w:pPr>
      <w:bookmarkStart w:id="7" w:name="_Toc512938576"/>
      <w:r>
        <w:t xml:space="preserve">Applicable </w:t>
      </w:r>
      <w:r w:rsidR="006F413B">
        <w:t>Standards/Guidelines</w:t>
      </w:r>
      <w:bookmarkEnd w:id="7"/>
    </w:p>
    <w:p w14:paraId="113906F2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F65917" w:rsidRPr="00D15899" w14:paraId="6EFDF1DD" w14:textId="77777777" w:rsidTr="00C06079">
        <w:tc>
          <w:tcPr>
            <w:tcW w:w="7785" w:type="dxa"/>
            <w:shd w:val="clear" w:color="auto" w:fill="AEAAAA"/>
          </w:tcPr>
          <w:p w14:paraId="53CC34D3" w14:textId="77777777" w:rsidR="00F65917" w:rsidRPr="00816C63" w:rsidRDefault="00F65917" w:rsidP="00FB2A89">
            <w:pPr>
              <w:pStyle w:val="Heading2"/>
              <w:rPr>
                <w:rFonts w:cs="Arial"/>
                <w:lang w:val="en-US" w:eastAsia="en-US"/>
              </w:rPr>
            </w:pPr>
            <w:bookmarkStart w:id="8" w:name="_Toc512938577"/>
            <w:r w:rsidRPr="00816C63">
              <w:rPr>
                <w:rFonts w:cs="Arial"/>
                <w:lang w:val="en-US" w:eastAsia="en-US"/>
              </w:rPr>
              <w:t>Standard/Guideline</w:t>
            </w:r>
            <w:bookmarkEnd w:id="8"/>
          </w:p>
        </w:tc>
        <w:tc>
          <w:tcPr>
            <w:tcW w:w="4223" w:type="dxa"/>
            <w:shd w:val="clear" w:color="auto" w:fill="AEAAAA"/>
          </w:tcPr>
          <w:p w14:paraId="5C13645C" w14:textId="77777777" w:rsidR="00F65917" w:rsidRPr="00816C63" w:rsidRDefault="00F65917" w:rsidP="00FB2A89">
            <w:pPr>
              <w:pStyle w:val="Heading2"/>
              <w:rPr>
                <w:rFonts w:cs="Arial"/>
                <w:lang w:val="en-US" w:eastAsia="en-US"/>
              </w:rPr>
            </w:pPr>
            <w:bookmarkStart w:id="9" w:name="_Toc512938578"/>
            <w:r w:rsidRPr="00816C63">
              <w:rPr>
                <w:rFonts w:cs="Arial"/>
                <w:lang w:val="en-US" w:eastAsia="en-US"/>
              </w:rPr>
              <w:t>Included In Report</w:t>
            </w:r>
            <w:bookmarkEnd w:id="9"/>
          </w:p>
        </w:tc>
      </w:tr>
      <w:tr w:rsidR="00A0421C" w:rsidRPr="00D15899" w14:paraId="5C6EE13F" w14:textId="77777777" w:rsidTr="00C06079">
        <w:tc>
          <w:tcPr>
            <w:tcW w:w="7785" w:type="dxa"/>
            <w:shd w:val="clear" w:color="auto" w:fill="auto"/>
          </w:tcPr>
          <w:p w14:paraId="1F34A053" w14:textId="77777777" w:rsidR="00A0421C" w:rsidRPr="00C06079" w:rsidRDefault="00D32E80" w:rsidP="00C06079">
            <w:pPr>
              <w:spacing w:after="0"/>
              <w:rPr>
                <w:b/>
              </w:rPr>
            </w:pPr>
            <w:hyperlink r:id="rId8" w:history="1">
              <w:r w:rsidR="00CC07A1" w:rsidRPr="00D70802">
                <w:rPr>
                  <w:rStyle w:val="Hyperlink"/>
                </w:rPr>
                <w:t>Web Content Accessibility Guidelines 2.0</w:t>
              </w:r>
            </w:hyperlink>
            <w:r w:rsidR="00CC07A1">
              <w:t xml:space="preserve"> 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0F75F80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6D17990C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3D57629C" w14:textId="77777777" w:rsidR="00A0421C" w:rsidRPr="00C06079" w:rsidRDefault="00A0421C" w:rsidP="00E02AAE">
            <w:pPr>
              <w:spacing w:after="0"/>
              <w:jc w:val="center"/>
            </w:pPr>
            <w:r w:rsidRPr="00C06079">
              <w:lastRenderedPageBreak/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14:paraId="3703FCA1" w14:textId="77777777" w:rsidTr="00C06079">
        <w:tc>
          <w:tcPr>
            <w:tcW w:w="7785" w:type="dxa"/>
            <w:shd w:val="clear" w:color="auto" w:fill="auto"/>
          </w:tcPr>
          <w:p w14:paraId="24C42147" w14:textId="77777777" w:rsidR="00F65917" w:rsidRPr="00D8456B" w:rsidRDefault="00D32E80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9" w:history="1">
              <w:r w:rsidR="00CC07A1" w:rsidRPr="00953736">
                <w:rPr>
                  <w:rStyle w:val="Hyperlink"/>
                  <w:rFonts w:eastAsia="Times New Roman" w:cs="Calibri"/>
                </w:rPr>
                <w:t>Revised Section 508 standards published January 18, 2017 and corrected January 22, 2018</w:t>
              </w:r>
            </w:hyperlink>
            <w:r w:rsidR="00CC07A1"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33D7025" w14:textId="77777777" w:rsidR="00F65917" w:rsidRPr="00D91251" w:rsidRDefault="007B6071" w:rsidP="00E02AAE">
            <w:pPr>
              <w:spacing w:after="0"/>
              <w:jc w:val="center"/>
            </w:pPr>
            <w:r w:rsidRPr="00C06079">
              <w:t>(</w:t>
            </w:r>
            <w:r>
              <w:t>Yes</w:t>
            </w:r>
            <w:r w:rsidRPr="00C06079">
              <w:t>)</w:t>
            </w:r>
          </w:p>
        </w:tc>
      </w:tr>
    </w:tbl>
    <w:p w14:paraId="2EFF8761" w14:textId="77777777" w:rsidR="008C68A8" w:rsidRPr="008C68A8" w:rsidRDefault="008C68A8" w:rsidP="00FB2A89">
      <w:pPr>
        <w:pStyle w:val="Heading2"/>
      </w:pPr>
      <w:bookmarkStart w:id="10" w:name="_Toc512938579"/>
      <w:r w:rsidRPr="008C68A8">
        <w:t>Terms</w:t>
      </w:r>
      <w:bookmarkEnd w:id="10"/>
    </w:p>
    <w:p w14:paraId="1BF95461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14:paraId="4726D34C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3784DE15" w14:textId="77777777"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7F488C70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1D40A976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54B1E89C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be used only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2.0 Level AAA.</w:t>
      </w:r>
    </w:p>
    <w:p w14:paraId="48359338" w14:textId="77777777" w:rsidR="00FA5F7F" w:rsidRDefault="00FA5F7F" w:rsidP="00FA5F7F"/>
    <w:p w14:paraId="4A5DB06C" w14:textId="77777777" w:rsidR="003D2163" w:rsidRPr="0000414C" w:rsidRDefault="003D2163" w:rsidP="003D2163">
      <w:pPr>
        <w:pStyle w:val="Heading2"/>
      </w:pPr>
      <w:bookmarkStart w:id="11" w:name="_Toc512938580"/>
      <w:r w:rsidRPr="0000532D">
        <w:t>WCAG 2.0 Report</w:t>
      </w:r>
      <w:bookmarkEnd w:id="11"/>
    </w:p>
    <w:p w14:paraId="0745FA5A" w14:textId="77777777" w:rsidR="003D2163" w:rsidRPr="00B83919" w:rsidRDefault="003D2163" w:rsidP="00B83919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 xml:space="preserve">Tables 1 and 2 also document conformance with: </w:t>
      </w:r>
    </w:p>
    <w:p w14:paraId="22A1FD61" w14:textId="77777777" w:rsidR="00FC0E2B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3B822BEF" w14:textId="77777777" w:rsidR="00327269" w:rsidRPr="005D7D11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0BDC446C" w14:textId="77777777"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1C39997C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8C1F100" w14:textId="77777777" w:rsidR="003D2163" w:rsidRPr="00B83919" w:rsidRDefault="00821525" w:rsidP="00B83919">
      <w:pPr>
        <w:pStyle w:val="Heading3"/>
        <w:rPr>
          <w:b w:val="0"/>
        </w:rPr>
      </w:pPr>
      <w:r>
        <w:br w:type="page"/>
      </w:r>
      <w:bookmarkStart w:id="12" w:name="_Toc512938581"/>
      <w:r w:rsidR="003D2163" w:rsidRPr="00B83919">
        <w:lastRenderedPageBreak/>
        <w:t xml:space="preserve">Table 1: </w:t>
      </w:r>
      <w:r w:rsidR="00327269">
        <w:t>Success</w:t>
      </w:r>
      <w:r w:rsidR="00327269" w:rsidRPr="00B83919">
        <w:t xml:space="preserve"> </w:t>
      </w:r>
      <w:r w:rsidR="003D2163" w:rsidRPr="00B83919">
        <w:t>Criteria, Level A</w:t>
      </w:r>
      <w:bookmarkEnd w:id="12"/>
    </w:p>
    <w:p w14:paraId="73478DB9" w14:textId="77777777" w:rsidR="003D2163" w:rsidRPr="00EA78A7" w:rsidRDefault="003D2163" w:rsidP="00270F56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14:paraId="44BACFA0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B14F4A9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DFAB404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5D8AEE7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5F5B6349" w14:textId="77777777" w:rsidTr="00A11E93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C02B1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" w:anchor="text-equiv-all" w:history="1">
              <w:r w:rsidR="003D2163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3D2163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3D2163" w:rsidRPr="00C06079">
              <w:t xml:space="preserve"> (Level A)</w:t>
            </w:r>
          </w:p>
          <w:p w14:paraId="40C02AC6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735CC0B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5E17AD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A44E32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46336B51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DA8E602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C9D91" w14:textId="77777777" w:rsidR="00375929" w:rsidRPr="00C06079" w:rsidRDefault="00934949" w:rsidP="00A11E9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  <w:r w:rsidR="00D66E2D" w:rsidRPr="00C06079">
              <w:rPr>
                <w:rFonts w:eastAsia="Times New Roman" w:cs="Arial"/>
              </w:rPr>
              <w:t xml:space="preserve"> 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5780E" w14:textId="77777777" w:rsidR="00375929" w:rsidRPr="00C06079" w:rsidRDefault="00D66E2D" w:rsidP="009C0565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 w:rsidR="009C0565">
              <w:rPr>
                <w:rFonts w:eastAsia="Times New Roman" w:cs="Arial"/>
              </w:rPr>
              <w:t xml:space="preserve">Whenever possible, </w:t>
            </w:r>
            <w:r w:rsidR="009C0565" w:rsidRPr="009C0565">
              <w:rPr>
                <w:rFonts w:eastAsia="Times New Roman" w:cs="Arial"/>
              </w:rPr>
              <w:t>non-text content that is presented to the user has a text alternative that serves the equivalent purpose</w:t>
            </w:r>
          </w:p>
        </w:tc>
      </w:tr>
      <w:tr w:rsidR="003D2163" w:rsidRPr="00B83919" w14:paraId="6E0B5AE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CDC2F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2" w:anchor="media-equiv-av-only-al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3D2163" w:rsidRPr="00C06079">
              <w:t xml:space="preserve"> (Level A)</w:t>
            </w:r>
          </w:p>
          <w:p w14:paraId="3297C9C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255EF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8B90AF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240E97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5DE75CE8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FE417B0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D6187" w14:textId="77777777" w:rsidR="00375929" w:rsidRPr="00C06079" w:rsidRDefault="000C0A9D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3406C" w14:textId="77777777" w:rsidR="00375929" w:rsidRPr="00C06079" w:rsidRDefault="009C0565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Prerecorded video (training videos) contain audio</w:t>
            </w:r>
          </w:p>
        </w:tc>
      </w:tr>
      <w:tr w:rsidR="003D2163" w:rsidRPr="00B83919" w14:paraId="37DDA12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AB50CB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3" w:anchor="media-equiv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3D2163" w:rsidRPr="00C06079">
              <w:t xml:space="preserve"> (Level A)</w:t>
            </w:r>
          </w:p>
          <w:p w14:paraId="7B4765C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D18113A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1F59D62F" w14:textId="77777777" w:rsidR="00240E97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 xml:space="preserve">(Web)(Software) </w:t>
            </w:r>
          </w:p>
          <w:p w14:paraId="547A832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B05F38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BD6F6" w14:textId="77777777" w:rsidR="00375929" w:rsidRPr="00C06079" w:rsidRDefault="000C0A9D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26447" w14:textId="77777777" w:rsidR="00375929" w:rsidRPr="00C06079" w:rsidRDefault="000C0A9D" w:rsidP="000C0A9D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Most help/training videos are captioned by YouTube</w:t>
            </w:r>
          </w:p>
        </w:tc>
      </w:tr>
      <w:tr w:rsidR="003D2163" w:rsidRPr="00B83919" w14:paraId="5A26697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C3932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4" w:anchor="media-equiv-audio-des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3D2163" w:rsidRPr="00C06079">
              <w:t xml:space="preserve"> (Level A)</w:t>
            </w:r>
          </w:p>
          <w:p w14:paraId="54AB1FC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3F0309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0845236" w14:textId="77777777" w:rsidR="00240E97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1F52E78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A887D35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83451" w14:textId="77777777" w:rsidR="00240E97" w:rsidRPr="00C06079" w:rsidRDefault="000C0A9D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BEE01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927A91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A8D08D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5" w:anchor="content-structure-separation-programmati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3D2163" w:rsidRPr="00C06079">
              <w:t xml:space="preserve"> (Level A)</w:t>
            </w:r>
          </w:p>
          <w:p w14:paraId="7D556E49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174E825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CFAB693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93AE4CC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3680CD9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1B726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C103C" w14:textId="77777777" w:rsidR="00A57AA3" w:rsidRPr="00C06079" w:rsidRDefault="009C0565" w:rsidP="0048157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9C0565">
              <w:rPr>
                <w:rFonts w:eastAsia="Times New Roman" w:cs="Arial"/>
              </w:rPr>
              <w:t>nformation, structure, and relationships conveyed through presentation can be programmatically determined or are available in text</w:t>
            </w:r>
          </w:p>
        </w:tc>
      </w:tr>
      <w:tr w:rsidR="003D2163" w:rsidRPr="00B83919" w14:paraId="6498042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D876F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6" w:anchor="content-structure-separation-sequenc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3D2163" w:rsidRPr="00C06079">
              <w:t xml:space="preserve"> (Level A)</w:t>
            </w:r>
          </w:p>
          <w:p w14:paraId="4D915EC7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CEDCDA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9F6BBC9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98ED22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7201A18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61051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FCC82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8C9A99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E4CAB3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3D2163" w:rsidRPr="00C06079">
              <w:rPr>
                <w:rFonts w:eastAsia="Times New Roman" w:cs="Arial"/>
                <w:b/>
              </w:rPr>
              <w:t xml:space="preserve"> </w:t>
            </w:r>
            <w:r w:rsidR="003D2163" w:rsidRPr="00C06079">
              <w:t xml:space="preserve"> (Level A)</w:t>
            </w:r>
          </w:p>
          <w:p w14:paraId="02411025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5150A2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3322752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161B606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34D898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A12E5F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7CCCCE" w14:textId="77777777" w:rsidR="00A57AA3" w:rsidRPr="00C06079" w:rsidRDefault="009C0565" w:rsidP="00A57AA3">
            <w:pPr>
              <w:spacing w:after="0" w:line="240" w:lineRule="auto"/>
              <w:rPr>
                <w:rFonts w:eastAsia="Times New Roman" w:cs="Arial"/>
              </w:rPr>
            </w:pPr>
            <w:r w:rsidRPr="009C0565">
              <w:rPr>
                <w:rFonts w:eastAsia="Times New Roman" w:cs="Arial"/>
              </w:rPr>
              <w:t>Instructions provided for understanding and operating content do not rely solely on sensory characteristics</w:t>
            </w:r>
          </w:p>
        </w:tc>
      </w:tr>
      <w:tr w:rsidR="003D2163" w:rsidRPr="00B83919" w14:paraId="114BE1E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BECE3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3D2163" w:rsidRPr="00C06079">
              <w:t xml:space="preserve"> (Level A)</w:t>
            </w:r>
          </w:p>
          <w:p w14:paraId="1C3B8192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1E682AD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32FE902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100ADA7B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B6C51C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97EB4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EA991" w14:textId="77777777" w:rsidR="00A57AA3" w:rsidRPr="00C06079" w:rsidRDefault="009C0565" w:rsidP="00A57AA3">
            <w:pPr>
              <w:spacing w:after="0" w:line="240" w:lineRule="auto"/>
              <w:rPr>
                <w:rFonts w:eastAsia="Times New Roman" w:cs="Arial"/>
              </w:rPr>
            </w:pPr>
            <w:r w:rsidRPr="009C0565">
              <w:rPr>
                <w:rFonts w:eastAsia="Times New Roman" w:cs="Arial"/>
              </w:rPr>
              <w:t>Color is not used as the only visual means of conveying information</w:t>
            </w:r>
          </w:p>
        </w:tc>
      </w:tr>
      <w:tr w:rsidR="003D2163" w:rsidRPr="00B83919" w14:paraId="5FE7005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6975D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3D2163" w:rsidRPr="00C06079">
              <w:t xml:space="preserve"> (Level A)</w:t>
            </w:r>
          </w:p>
          <w:p w14:paraId="0E899DF5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07D8B4E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B561E3A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1D290A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605358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47A54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35B82B" w14:textId="77777777" w:rsidR="00A57AA3" w:rsidRPr="00C06079" w:rsidRDefault="009C056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Audio can be stopped/paused (training videos)</w:t>
            </w:r>
          </w:p>
        </w:tc>
      </w:tr>
      <w:tr w:rsidR="003D2163" w:rsidRPr="00B83919" w14:paraId="035521D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41432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</w:rPr>
            </w:pPr>
            <w:hyperlink r:id="rId20" w:anchor="keyboard-operation-keyboard-opera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3D2163" w:rsidRPr="00C06079">
              <w:t xml:space="preserve"> (Level A)</w:t>
            </w:r>
          </w:p>
          <w:p w14:paraId="038783CE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0D82DD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0622BFB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3DDE2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D7F61D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8DB2F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D5365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2BE8DA2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ECD0D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3D2163" w:rsidRPr="00C06079">
              <w:t xml:space="preserve"> (Level A)</w:t>
            </w:r>
          </w:p>
          <w:p w14:paraId="110D572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47D60FAC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A240768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33D1D63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A9D3B80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083DB" w14:textId="77777777" w:rsidR="003D2163" w:rsidRPr="00C06079" w:rsidRDefault="00F63B44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Supports</w:t>
            </w:r>
          </w:p>
          <w:p w14:paraId="07CF20A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58EE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FA92D5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063C5A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time-limits-required-behavior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3D2163" w:rsidRPr="00C06079">
              <w:t xml:space="preserve"> (Level A)</w:t>
            </w:r>
          </w:p>
          <w:p w14:paraId="4D45F9E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091B98A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1879EB3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AE02261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393A58D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2E28B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9E3E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B27D61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C8E29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paus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3D2163" w:rsidRPr="00C06079">
              <w:t xml:space="preserve"> (Level A)</w:t>
            </w:r>
          </w:p>
          <w:p w14:paraId="06269FE7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2D10EB4" w14:textId="77777777" w:rsidR="00517483" w:rsidRPr="00C06079" w:rsidRDefault="00517483" w:rsidP="00517483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</w:p>
          <w:p w14:paraId="792DC23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B7FB17B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CC8BA3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9D880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796F61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2C47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EF638B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4DB196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seizure-does-not-violat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3D2163" w:rsidRPr="00C06079">
              <w:t xml:space="preserve"> (Level A)</w:t>
            </w:r>
          </w:p>
          <w:p w14:paraId="49A290E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C9E87DF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8CF638E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72B2E0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E90BA06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D541E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0D7DE" w14:textId="77777777" w:rsidR="00A57AA3" w:rsidRPr="00C06079" w:rsidRDefault="00DC22B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 flashing content found</w:t>
            </w:r>
          </w:p>
        </w:tc>
      </w:tr>
      <w:tr w:rsidR="003D2163" w:rsidRPr="00B83919" w14:paraId="3303A1F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B8361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avigation-mechanisms-skip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3D2163" w:rsidRPr="00C06079">
              <w:t xml:space="preserve"> (Level A)</w:t>
            </w:r>
          </w:p>
          <w:p w14:paraId="641BD61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AF1E104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C521F0F" w14:textId="77777777" w:rsidR="00375929" w:rsidRPr="00C06079" w:rsidRDefault="00D66E2D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57E5CAB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B5B3E8" w14:textId="77777777" w:rsidR="00375929" w:rsidRPr="00C06079" w:rsidRDefault="00375929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3B66D" w14:textId="77777777" w:rsidR="003D2163" w:rsidRPr="00C06079" w:rsidRDefault="00F63B44" w:rsidP="00F63B4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A6A0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04F2BC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690C0C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tit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3D2163" w:rsidRPr="00C06079">
              <w:t xml:space="preserve"> (Level A)</w:t>
            </w:r>
          </w:p>
          <w:p w14:paraId="31FFEC3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216F61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5EBBBF5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501 (Web)(Software)</w:t>
            </w:r>
          </w:p>
          <w:p w14:paraId="3F96533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5022039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ADEA2" w14:textId="77777777" w:rsidR="003D2163" w:rsidRPr="00C06079" w:rsidRDefault="00F63B44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Supports</w:t>
            </w:r>
          </w:p>
          <w:p w14:paraId="795BC1F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D2E1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2999015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08828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focus-orde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3D2163" w:rsidRPr="00C06079">
              <w:t xml:space="preserve"> (Level A)</w:t>
            </w:r>
          </w:p>
          <w:p w14:paraId="348425F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CB27BB5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640A0F2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86B6E1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C6AF35F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751E2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DD4B2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5FBC127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54F34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ref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3D2163" w:rsidRPr="00C06079">
              <w:t xml:space="preserve"> (Level A)</w:t>
            </w:r>
          </w:p>
          <w:p w14:paraId="2B4C6D9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E15CCEB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156325A5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7A7EF5B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0962351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D5A92D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7F984" w14:textId="77777777" w:rsidR="00A57AA3" w:rsidRPr="00C06079" w:rsidRDefault="00DC22B5" w:rsidP="00A57AA3">
            <w:pPr>
              <w:spacing w:after="0" w:line="240" w:lineRule="auto"/>
              <w:rPr>
                <w:rFonts w:eastAsia="Times New Roman" w:cs="Arial"/>
              </w:rPr>
            </w:pPr>
            <w:r w:rsidRPr="00DC22B5">
              <w:rPr>
                <w:rFonts w:eastAsia="Times New Roman" w:cs="Arial"/>
              </w:rPr>
              <w:t>The purpose of each link in HeinOnline can be determined from the link text alone</w:t>
            </w:r>
          </w:p>
        </w:tc>
      </w:tr>
      <w:tr w:rsidR="003D2163" w:rsidRPr="00B83919" w14:paraId="40AAAA3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C82EB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meaning-doc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3D2163" w:rsidRPr="00C06079">
              <w:t xml:space="preserve"> (Level A)</w:t>
            </w:r>
          </w:p>
          <w:p w14:paraId="59D7539A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4AF19CE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3C7DCC07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108FA5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079A91D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98385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751D1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D4FE66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12ABD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consistent-behavior-receive-focu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3D2163" w:rsidRPr="00C06079">
              <w:t xml:space="preserve"> (Level A)</w:t>
            </w:r>
          </w:p>
          <w:p w14:paraId="3AE1934A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DC56D2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1FBA76E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E530B97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2F07799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28F6F5" w14:textId="77777777" w:rsidR="00A57AA3" w:rsidRPr="00C06079" w:rsidRDefault="00F63B44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96EEB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6B27CC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6B8AF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consistent-behavior-unpredictable-chang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3D2163" w:rsidRPr="00C06079">
              <w:t xml:space="preserve"> (Level A)</w:t>
            </w:r>
          </w:p>
          <w:p w14:paraId="1D28057E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367664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0CA76EC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2411521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5D43ADA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288F4" w14:textId="77777777" w:rsidR="00A57AA3" w:rsidRPr="00C06079" w:rsidRDefault="009D5742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CB54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F1EC7E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6A4D17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minimize-error-identifi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3D2163" w:rsidRPr="00C06079">
              <w:t xml:space="preserve"> (Level A)</w:t>
            </w:r>
          </w:p>
          <w:p w14:paraId="311C40E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3F38836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0BD375D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601CA0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DAFF67D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FD6A1" w14:textId="77777777" w:rsidR="00A57AA3" w:rsidRPr="00C06079" w:rsidRDefault="009D677D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9A153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B909B6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E74E64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minimize-error-cu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3D2163" w:rsidRPr="00C06079">
              <w:t xml:space="preserve"> (Level A)</w:t>
            </w:r>
          </w:p>
          <w:p w14:paraId="76B7472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03110BC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55BE26D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0A394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0433B4C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68D6D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C7EF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6C017B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7BDFA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ensure-compat-pars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3D2163" w:rsidRPr="00C06079">
              <w:t xml:space="preserve"> (Level A)</w:t>
            </w:r>
          </w:p>
          <w:p w14:paraId="7F2FF2B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D7E4617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053DFD0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CBDE0F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B6D2D1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689E42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8C12F5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914242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9E793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ensure-compat-rsv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3D2163" w:rsidRPr="00C06079">
              <w:t xml:space="preserve"> (Level A)</w:t>
            </w:r>
          </w:p>
          <w:p w14:paraId="1E15B91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269594E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E93CB8B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6F474E7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B35A0DA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68AA5A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C32C2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64BCBB2C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765653F" w14:textId="77777777" w:rsidR="003D2163" w:rsidRPr="00B83919" w:rsidRDefault="003D2163" w:rsidP="00B83919">
      <w:pPr>
        <w:pStyle w:val="Heading3"/>
      </w:pPr>
      <w:bookmarkStart w:id="13" w:name="_Toc512938582"/>
      <w:r w:rsidRPr="00B83919">
        <w:t xml:space="preserve">Table 2: </w:t>
      </w:r>
      <w:r w:rsidR="00327269">
        <w:t>Success</w:t>
      </w:r>
      <w:r w:rsidR="00327269" w:rsidRPr="00B83919">
        <w:t xml:space="preserve"> </w:t>
      </w:r>
      <w:r w:rsidRPr="00B83919">
        <w:t>Criteria, Level AA</w:t>
      </w:r>
      <w:bookmarkEnd w:id="13"/>
    </w:p>
    <w:p w14:paraId="47E9E8B2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26"/>
        <w:gridCol w:w="29"/>
        <w:gridCol w:w="2669"/>
        <w:gridCol w:w="5095"/>
        <w:gridCol w:w="12"/>
      </w:tblGrid>
      <w:tr w:rsidR="003D2163" w:rsidRPr="00B83919" w14:paraId="2B4FD7B2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390C117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34C73B0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6FEE2CD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609E3A9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2A001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dia-equiv-real-time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3D2163" w:rsidRPr="00C06079">
              <w:t xml:space="preserve"> (Level AA)</w:t>
            </w:r>
          </w:p>
          <w:p w14:paraId="3291261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570525A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4113E711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3943CA3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8E6FB4D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439AC1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4B98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A9C10F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3ACF28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media-equiv-audio-desc-onl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3D2163" w:rsidRPr="00C06079">
              <w:t xml:space="preserve"> (Level AA)</w:t>
            </w:r>
          </w:p>
          <w:p w14:paraId="382A07A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F7353A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465CEEEE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6470250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D30BFCF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3B2EB4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BACAB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Training videos are narrated</w:t>
            </w:r>
          </w:p>
        </w:tc>
      </w:tr>
      <w:tr w:rsidR="003D2163" w:rsidRPr="00B83919" w14:paraId="7E8DC91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42817B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visual-audio-contrast-contras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3D2163" w:rsidRPr="00C06079">
              <w:t xml:space="preserve"> (Level AA)</w:t>
            </w:r>
          </w:p>
          <w:p w14:paraId="426E31A9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874027A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358FD33E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9A7D1F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62E7513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4E4846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76E4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19C46A9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6885DF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visual-audio-contrast-sca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3D2163" w:rsidRPr="00C06079">
              <w:t xml:space="preserve"> (Level AA)</w:t>
            </w:r>
          </w:p>
          <w:p w14:paraId="64E4821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D5EC003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26F8F3E8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7B1C35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99F4243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DC887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2A1C2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F616D4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9F7E7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visual-audio-contrast-text-present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3D2163" w:rsidRPr="00C06079">
              <w:t xml:space="preserve"> (Level AA)</w:t>
            </w:r>
          </w:p>
          <w:p w14:paraId="0DE8129E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B1EE5A2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0B5C2E1A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A616266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508E3C8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174BBF" w14:textId="77777777" w:rsidR="00A57AA3" w:rsidRPr="00C06079" w:rsidRDefault="000C3BA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19AED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240611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AB4929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mult-lo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3D2163" w:rsidRPr="00C06079">
              <w:t xml:space="preserve"> (Level AA)</w:t>
            </w:r>
          </w:p>
          <w:p w14:paraId="3122A57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9321AC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3239EA48" w14:textId="77777777"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72DDA98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CBD133B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79606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634AF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AE1AB6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DA7EE2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navigation-mechanisms-descriptiv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3D2163" w:rsidRPr="00C06079">
              <w:t xml:space="preserve"> (Level AA)</w:t>
            </w:r>
          </w:p>
          <w:p w14:paraId="0B428CC8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31F7E9F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3A49427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7870175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14FAA84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4D4897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E6C35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606AA61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9D93F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navigation-mechanisms-focus-vi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3D2163" w:rsidRPr="00C06079">
              <w:t xml:space="preserve"> (Level AA)</w:t>
            </w:r>
          </w:p>
          <w:p w14:paraId="53903AB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F28C5C2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3A37906C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0AC5D20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F7D3897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0D9E4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3C78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7ADF1FA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29998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aning-other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3D2163" w:rsidRPr="00C06079">
              <w:t xml:space="preserve"> (Level AA)</w:t>
            </w:r>
          </w:p>
          <w:p w14:paraId="257B42D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C13929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03BA8CB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6B46859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213F672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E264A3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B600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3AEDC8A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CEC606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consistent-behavior-consistent-loca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3D2163" w:rsidRPr="00C06079">
              <w:t xml:space="preserve"> (Level AA)</w:t>
            </w:r>
          </w:p>
          <w:p w14:paraId="038FCB65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E7A94CB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7FAB04F0" w14:textId="77777777"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5EE9592E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90F2C6D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82EF6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9E5349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E10E4A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84E51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consistent-behavior-consistent-functionalit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3D2163" w:rsidRPr="00C06079">
              <w:t xml:space="preserve"> (Level AA)</w:t>
            </w:r>
          </w:p>
          <w:p w14:paraId="3E215F7B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158B44C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63098D71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</w:t>
            </w:r>
            <w:r w:rsidR="00D66E2D" w:rsidRPr="00C06079">
              <w:rPr>
                <w:rFonts w:eastAsia="Times New Roman" w:cs="Arial"/>
              </w:rPr>
              <w:t xml:space="preserve"> (Web)(Software) – Does not apply to non-web software</w:t>
            </w:r>
          </w:p>
          <w:p w14:paraId="00840CFC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4F2C65C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094B5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5CE8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0ACA009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211C82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inimize-error-sugges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3D2163" w:rsidRPr="00C06079">
              <w:t xml:space="preserve"> (Level AA)</w:t>
            </w:r>
          </w:p>
          <w:p w14:paraId="464F7D65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728A612F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41BF2B94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DF7AEFF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2014B80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A1F55" w14:textId="77777777" w:rsidR="00A57AA3" w:rsidRPr="00C06079" w:rsidRDefault="00B42E2F" w:rsidP="00B42E2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50AB57" w14:textId="77777777" w:rsidR="00A57AA3" w:rsidRPr="00C06079" w:rsidRDefault="00DC22B5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Suggestions</w:t>
            </w:r>
            <w:r w:rsidR="00613977">
              <w:rPr>
                <w:rFonts w:eastAsia="Times New Roman" w:cs="Arial"/>
              </w:rPr>
              <w:t xml:space="preserve"> are offered</w:t>
            </w:r>
            <w:r>
              <w:rPr>
                <w:rFonts w:eastAsia="Times New Roman" w:cs="Arial"/>
              </w:rPr>
              <w:t xml:space="preserve"> for </w:t>
            </w:r>
            <w:r w:rsidR="00613977">
              <w:rPr>
                <w:rFonts w:eastAsia="Times New Roman" w:cs="Arial"/>
              </w:rPr>
              <w:t xml:space="preserve">citations that could not be </w:t>
            </w:r>
            <w:r w:rsidR="00613977">
              <w:rPr>
                <w:rFonts w:eastAsia="Times New Roman" w:cs="Arial"/>
              </w:rPr>
              <w:lastRenderedPageBreak/>
              <w:t>found in HeinOnline</w:t>
            </w:r>
          </w:p>
        </w:tc>
      </w:tr>
      <w:tr w:rsidR="003D2163" w:rsidRPr="00B83919" w14:paraId="558999C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46859" w14:textId="77777777" w:rsidR="003D2163" w:rsidRPr="00C06079" w:rsidRDefault="00D32E8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inimize-error-rever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3D2163" w:rsidRPr="00C06079">
              <w:t xml:space="preserve"> (Level AA)</w:t>
            </w:r>
          </w:p>
          <w:p w14:paraId="2CA3D9D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4E9C5F9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375CA9A7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8E532BC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BD84E56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1EC6C" w14:textId="77777777" w:rsidR="00A57AA3" w:rsidRPr="00C06079" w:rsidRDefault="00B42E2F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7A10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1ADD5A76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41B50" w14:textId="77777777" w:rsidR="00C622BB" w:rsidRDefault="0080607B" w:rsidP="00C622BB">
      <w:pPr>
        <w:pStyle w:val="Heading2"/>
      </w:pPr>
      <w:bookmarkStart w:id="14" w:name="_Toc473010283"/>
      <w:bookmarkStart w:id="15" w:name="_Toc512938584"/>
      <w:r>
        <w:t>Revised</w:t>
      </w:r>
      <w:r w:rsidR="00C622BB">
        <w:t xml:space="preserve"> </w:t>
      </w:r>
      <w:r w:rsidR="00C622BB" w:rsidRPr="00EB042E">
        <w:t>Section 508</w:t>
      </w:r>
      <w:r w:rsidR="00C622BB" w:rsidRPr="000166E6">
        <w:t xml:space="preserve"> </w:t>
      </w:r>
      <w:r w:rsidR="00C622BB" w:rsidRPr="00EB042E">
        <w:t>Report</w:t>
      </w:r>
      <w:bookmarkEnd w:id="14"/>
      <w:bookmarkEnd w:id="15"/>
    </w:p>
    <w:p w14:paraId="21F8999E" w14:textId="77777777" w:rsidR="00C622BB" w:rsidRPr="0036213E" w:rsidRDefault="00C622BB" w:rsidP="00C622BB">
      <w:r w:rsidRPr="0036213E">
        <w:t>Notes:</w:t>
      </w:r>
    </w:p>
    <w:p w14:paraId="5929F5CC" w14:textId="77777777" w:rsidR="00C622BB" w:rsidRPr="0036213E" w:rsidRDefault="00C622BB" w:rsidP="00C622BB">
      <w:pPr>
        <w:pStyle w:val="Heading3"/>
      </w:pPr>
      <w:bookmarkStart w:id="16" w:name="_Toc473010290"/>
      <w:bookmarkStart w:id="17" w:name="_Toc512938585"/>
      <w:r>
        <w:t>Chapter 3</w:t>
      </w:r>
      <w:r w:rsidR="000E43BF">
        <w:t xml:space="preserve">: </w:t>
      </w:r>
      <w:hyperlink r:id="rId49" w:anchor="302-functional-performance-criteria" w:history="1">
        <w:r w:rsidRPr="00CC07A1">
          <w:rPr>
            <w:rStyle w:val="Hyperlink"/>
          </w:rPr>
          <w:t>Functional Performance Criteria</w:t>
        </w:r>
      </w:hyperlink>
      <w:r w:rsidR="00C80E86">
        <w:t xml:space="preserve"> (FPC)</w:t>
      </w:r>
      <w:bookmarkEnd w:id="16"/>
      <w:bookmarkEnd w:id="17"/>
    </w:p>
    <w:p w14:paraId="39C7842D" w14:textId="77777777" w:rsidR="00C622BB" w:rsidRPr="007B01FF" w:rsidRDefault="00C622BB" w:rsidP="00270F56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C622BB" w:rsidRPr="007C6663" w14:paraId="6F9ED279" w14:textId="77777777" w:rsidTr="00C622BB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6268FDC" w14:textId="77777777" w:rsidR="00C622BB" w:rsidRPr="007C6663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069B8C7" w14:textId="77777777" w:rsidR="00C622BB" w:rsidRPr="007C6663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2E25333" w14:textId="77777777" w:rsidR="00C622BB" w:rsidRPr="007C6663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622BB" w:rsidRPr="007C6663" w14:paraId="412B779A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596E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C92FA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F3546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OCR text of pages is provided, can be read by screen reader</w:t>
            </w:r>
          </w:p>
        </w:tc>
      </w:tr>
      <w:tr w:rsidR="00C622BB" w:rsidRPr="007C6663" w14:paraId="38609526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81920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8B3B8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3848B" w14:textId="77777777" w:rsidR="00C622BB" w:rsidRPr="00C06079" w:rsidRDefault="00613977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Pages can be zoomed</w:t>
            </w:r>
          </w:p>
        </w:tc>
      </w:tr>
      <w:tr w:rsidR="00C622BB" w:rsidRPr="007C6663" w14:paraId="7FB83FE8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6A5AC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B3A3" w14:textId="77777777" w:rsidR="00320F8D" w:rsidRPr="00C06079" w:rsidRDefault="00320F8D" w:rsidP="00320F8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E73AA" w14:textId="77777777" w:rsidR="00C622BB" w:rsidRPr="00C06079" w:rsidRDefault="00613977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613977">
              <w:rPr>
                <w:rFonts w:eastAsia="Times New Roman" w:cs="Arial"/>
              </w:rPr>
              <w:t>Color is not used as the only visual means of conveying information</w:t>
            </w:r>
          </w:p>
        </w:tc>
      </w:tr>
      <w:tr w:rsidR="00C622BB" w:rsidRPr="007C6663" w14:paraId="466B4476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8B0EC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8417F" w14:textId="77777777" w:rsidR="00320F8D" w:rsidRPr="00C06079" w:rsidRDefault="00320F8D" w:rsidP="00320F8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59754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622BB" w:rsidRPr="007C6663" w14:paraId="08510B0C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3FA2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D862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8F9B9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622BB" w:rsidRPr="007C6663" w14:paraId="355A5B41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180DC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945ED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C4BF3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622BB" w:rsidRPr="007C6663" w14:paraId="167ADBE3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BAC5F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9798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48F51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622BB" w:rsidRPr="007C6663" w14:paraId="70F914D9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2558E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8E401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FD5C8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C622BB" w:rsidRPr="007C6663" w14:paraId="0E2DC65B" w14:textId="77777777" w:rsidTr="00C622BB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1B5B5" w14:textId="77777777" w:rsidR="00C622BB" w:rsidRPr="007C6663" w:rsidRDefault="00C622BB" w:rsidP="007C1BE2">
            <w:pPr>
              <w:spacing w:after="0" w:line="240" w:lineRule="auto"/>
              <w:ind w:left="-15" w:firstLine="15"/>
            </w:pPr>
            <w:r w:rsidRPr="00C06079">
              <w:lastRenderedPageBreak/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49162" w14:textId="77777777" w:rsidR="00C622BB" w:rsidRPr="00C06079" w:rsidRDefault="00320F8D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A3205" w14:textId="77777777" w:rsidR="00C622BB" w:rsidRPr="00C06079" w:rsidRDefault="00C622BB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D1F510D" w14:textId="77777777" w:rsidR="00B03633" w:rsidRPr="0036213E" w:rsidRDefault="00B03633" w:rsidP="00B03633">
      <w:pPr>
        <w:pStyle w:val="Heading3"/>
      </w:pPr>
      <w:bookmarkStart w:id="18" w:name="_Toc512938588"/>
      <w:r>
        <w:t>Chapter 6</w:t>
      </w:r>
      <w:r w:rsidR="000E43BF">
        <w:t xml:space="preserve">: </w:t>
      </w:r>
      <w:hyperlink r:id="rId50" w:anchor="601-general" w:history="1">
        <w:r w:rsidRPr="00CC07A1">
          <w:rPr>
            <w:rStyle w:val="Hyperlink"/>
          </w:rPr>
          <w:t>Support Documentation and Services</w:t>
        </w:r>
        <w:bookmarkEnd w:id="18"/>
      </w:hyperlink>
    </w:p>
    <w:p w14:paraId="057517D9" w14:textId="77777777" w:rsidR="00B03633" w:rsidRPr="007B01FF" w:rsidRDefault="00B03633" w:rsidP="004B0319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3896"/>
        <w:gridCol w:w="3882"/>
      </w:tblGrid>
      <w:tr w:rsidR="00B03633" w:rsidRPr="007C6663" w14:paraId="12798916" w14:textId="77777777" w:rsidTr="00B03633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820952E" w14:textId="77777777" w:rsidR="00B03633" w:rsidRPr="007C6663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507EC24" w14:textId="77777777" w:rsidR="00B03633" w:rsidRPr="007C6663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BFAE03E" w14:textId="77777777" w:rsidR="00B03633" w:rsidRPr="007C6663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B03633" w:rsidRPr="007C6663" w14:paraId="34186A47" w14:textId="77777777" w:rsidTr="00C06079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B8CCD75" w14:textId="77777777" w:rsidR="00B03633" w:rsidRPr="000E672F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B2F1BF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F109F9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70766218" w14:textId="77777777" w:rsidTr="00C06079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B1F0F3" w14:textId="77777777" w:rsidR="00B03633" w:rsidRPr="000D1389" w:rsidRDefault="00D32E80" w:rsidP="00B03633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1" w:anchor="602-support-documentation" w:history="1">
              <w:r w:rsidR="00B03633" w:rsidRPr="000D1389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07554DE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045CA7F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5B0D9622" w14:textId="77777777" w:rsidTr="00B03633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2B82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7C636" w14:textId="77777777" w:rsidR="00B03633" w:rsidRPr="00C06079" w:rsidRDefault="00320F8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7BD0FE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B03633" w:rsidRPr="007C6663" w14:paraId="1B914F61" w14:textId="77777777" w:rsidTr="00C06079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58BD7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289C1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3B7200" w14:textId="77777777" w:rsidR="00B03633" w:rsidRPr="00C06079" w:rsidRDefault="007C4985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 w:rsidR="006605BD"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B03633" w:rsidRPr="007C6663" w14:paraId="22A61141" w14:textId="77777777" w:rsidTr="00B03633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0CF0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C01EB7" w14:textId="77777777" w:rsidR="00B03633" w:rsidRPr="00C06079" w:rsidRDefault="00320F8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72FEB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B03633" w:rsidRPr="007C6663" w14:paraId="6754C06D" w14:textId="77777777" w:rsidTr="00C06079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7F0BE02" w14:textId="77777777" w:rsidR="00B03633" w:rsidRPr="000D1389" w:rsidRDefault="00D32E80" w:rsidP="00B03633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2" w:anchor="603-support-services" w:history="1">
              <w:r w:rsidR="00B03633" w:rsidRPr="000D1389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9B632EF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DCCDD5A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7AA49FF0" w14:textId="77777777" w:rsidTr="00B03633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703D1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0A4A2F" w14:textId="77777777" w:rsidR="00B03633" w:rsidRPr="00C06079" w:rsidRDefault="00320F8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CCBE12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B03633" w:rsidRPr="007C6663" w14:paraId="2A338692" w14:textId="77777777" w:rsidTr="00B03633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AD81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4F652" w14:textId="77777777" w:rsidR="00B03633" w:rsidRPr="00C06079" w:rsidRDefault="00320F8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A7411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15BE5314" w14:textId="77777777" w:rsidR="00C622BB" w:rsidRDefault="00C622BB" w:rsidP="00613977">
      <w:pPr>
        <w:pStyle w:val="NormalWeb"/>
        <w:rPr>
          <w:rFonts w:ascii="Arial" w:hAnsi="Arial" w:cs="Arial"/>
        </w:rPr>
      </w:pPr>
    </w:p>
    <w:sectPr w:rsidR="00C622BB" w:rsidSect="00481E9E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3B87" w14:textId="77777777" w:rsidR="00E17045" w:rsidRDefault="00E17045" w:rsidP="000166E6">
      <w:pPr>
        <w:spacing w:after="0" w:line="240" w:lineRule="auto"/>
      </w:pPr>
      <w:r>
        <w:separator/>
      </w:r>
    </w:p>
  </w:endnote>
  <w:endnote w:type="continuationSeparator" w:id="0">
    <w:p w14:paraId="0B9AA665" w14:textId="77777777" w:rsidR="00E17045" w:rsidRDefault="00E17045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4E08" w14:textId="77777777" w:rsidR="000C3BA5" w:rsidRDefault="000C3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1AC9" w14:textId="77777777" w:rsidR="000C3BA5" w:rsidRDefault="000C3BA5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BC5CA4">
      <w:rPr>
        <w:b/>
        <w:noProof/>
      </w:rPr>
      <w:t>11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BC5CA4">
      <w:rPr>
        <w:b/>
        <w:noProof/>
      </w:rPr>
      <w:t>12</w:t>
    </w:r>
    <w:r>
      <w:rPr>
        <w:b/>
        <w:sz w:val="24"/>
        <w:szCs w:val="24"/>
      </w:rPr>
      <w:fldChar w:fldCharType="end"/>
    </w:r>
  </w:p>
  <w:p w14:paraId="00155FB3" w14:textId="77777777" w:rsidR="000C3BA5" w:rsidRDefault="000C3BA5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DECA" w14:textId="77777777" w:rsidR="000C3BA5" w:rsidRPr="00852F1A" w:rsidRDefault="000C3BA5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6BBBC9B7" w14:textId="77777777" w:rsidR="000C3BA5" w:rsidRDefault="000C3BA5">
    <w:pPr>
      <w:pStyle w:val="Footer"/>
    </w:pPr>
    <w:r>
      <w:t>“</w:t>
    </w:r>
    <w:r w:rsidRPr="003C2DE7">
      <w:t>Voluntary Product Accessibility Template</w:t>
    </w:r>
    <w:r>
      <w:t>”</w:t>
    </w:r>
    <w:r w:rsidRPr="003C2DE7">
      <w:t xml:space="preserve"> and </w:t>
    </w:r>
    <w:r>
      <w:t>“</w:t>
    </w:r>
    <w:r w:rsidRPr="003C2DE7">
      <w:t>VPAT</w:t>
    </w:r>
    <w:r>
      <w:t>”</w:t>
    </w:r>
    <w:r w:rsidRPr="003C2DE7">
      <w:t xml:space="preserve"> are registered </w:t>
    </w:r>
    <w:r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of </w:t>
    </w:r>
    <w:r>
      <w:t xml:space="preserve">the </w:t>
    </w:r>
    <w:r w:rsidRPr="003C2DE7">
      <w:t>Information Technology Industry Council (ITI)</w:t>
    </w: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044962">
      <w:rPr>
        <w:b/>
        <w:noProof/>
      </w:rPr>
      <w:t>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044962">
      <w:rPr>
        <w:b/>
        <w:noProof/>
      </w:rPr>
      <w:t>11</w:t>
    </w:r>
    <w:r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D70B" w14:textId="77777777" w:rsidR="00E17045" w:rsidRDefault="00E17045" w:rsidP="000166E6">
      <w:pPr>
        <w:spacing w:after="0" w:line="240" w:lineRule="auto"/>
      </w:pPr>
      <w:r>
        <w:separator/>
      </w:r>
    </w:p>
  </w:footnote>
  <w:footnote w:type="continuationSeparator" w:id="0">
    <w:p w14:paraId="4288E4FD" w14:textId="77777777" w:rsidR="00E17045" w:rsidRDefault="00E17045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87FA" w14:textId="77777777" w:rsidR="000C3BA5" w:rsidRDefault="000C3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1E48" w14:textId="77777777" w:rsidR="000C3BA5" w:rsidRDefault="000C3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3DE7" w14:textId="77777777" w:rsidR="000C3BA5" w:rsidRDefault="000C3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124FE"/>
    <w:multiLevelType w:val="hybridMultilevel"/>
    <w:tmpl w:val="A0B6E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5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82522">
    <w:abstractNumId w:val="22"/>
  </w:num>
  <w:num w:numId="2" w16cid:durableId="44646441">
    <w:abstractNumId w:val="23"/>
  </w:num>
  <w:num w:numId="3" w16cid:durableId="319388988">
    <w:abstractNumId w:val="6"/>
  </w:num>
  <w:num w:numId="4" w16cid:durableId="1518500015">
    <w:abstractNumId w:val="18"/>
  </w:num>
  <w:num w:numId="5" w16cid:durableId="1195728720">
    <w:abstractNumId w:val="37"/>
  </w:num>
  <w:num w:numId="6" w16cid:durableId="1200241278">
    <w:abstractNumId w:val="27"/>
  </w:num>
  <w:num w:numId="7" w16cid:durableId="1831410472">
    <w:abstractNumId w:val="13"/>
  </w:num>
  <w:num w:numId="8" w16cid:durableId="802232033">
    <w:abstractNumId w:val="26"/>
  </w:num>
  <w:num w:numId="9" w16cid:durableId="1185898527">
    <w:abstractNumId w:val="9"/>
  </w:num>
  <w:num w:numId="10" w16cid:durableId="748624799">
    <w:abstractNumId w:val="24"/>
  </w:num>
  <w:num w:numId="11" w16cid:durableId="792863381">
    <w:abstractNumId w:val="4"/>
  </w:num>
  <w:num w:numId="12" w16cid:durableId="373509594">
    <w:abstractNumId w:val="7"/>
  </w:num>
  <w:num w:numId="13" w16cid:durableId="469833113">
    <w:abstractNumId w:val="19"/>
  </w:num>
  <w:num w:numId="14" w16cid:durableId="993919832">
    <w:abstractNumId w:val="30"/>
  </w:num>
  <w:num w:numId="15" w16cid:durableId="1748762814">
    <w:abstractNumId w:val="11"/>
  </w:num>
  <w:num w:numId="16" w16cid:durableId="842823374">
    <w:abstractNumId w:val="36"/>
  </w:num>
  <w:num w:numId="17" w16cid:durableId="1557814783">
    <w:abstractNumId w:val="38"/>
  </w:num>
  <w:num w:numId="18" w16cid:durableId="586426139">
    <w:abstractNumId w:val="34"/>
  </w:num>
  <w:num w:numId="19" w16cid:durableId="2021084922">
    <w:abstractNumId w:val="17"/>
  </w:num>
  <w:num w:numId="20" w16cid:durableId="635377036">
    <w:abstractNumId w:val="16"/>
  </w:num>
  <w:num w:numId="21" w16cid:durableId="1832480678">
    <w:abstractNumId w:val="25"/>
  </w:num>
  <w:num w:numId="22" w16cid:durableId="2039306180">
    <w:abstractNumId w:val="3"/>
  </w:num>
  <w:num w:numId="23" w16cid:durableId="2096896218">
    <w:abstractNumId w:val="39"/>
  </w:num>
  <w:num w:numId="24" w16cid:durableId="1085803780">
    <w:abstractNumId w:val="29"/>
  </w:num>
  <w:num w:numId="25" w16cid:durableId="27146720">
    <w:abstractNumId w:val="10"/>
  </w:num>
  <w:num w:numId="26" w16cid:durableId="1843202789">
    <w:abstractNumId w:val="8"/>
  </w:num>
  <w:num w:numId="27" w16cid:durableId="1240946561">
    <w:abstractNumId w:val="32"/>
  </w:num>
  <w:num w:numId="28" w16cid:durableId="204144954">
    <w:abstractNumId w:val="14"/>
  </w:num>
  <w:num w:numId="29" w16cid:durableId="1362509796">
    <w:abstractNumId w:val="15"/>
  </w:num>
  <w:num w:numId="30" w16cid:durableId="567570805">
    <w:abstractNumId w:val="1"/>
  </w:num>
  <w:num w:numId="31" w16cid:durableId="1096441516">
    <w:abstractNumId w:val="33"/>
  </w:num>
  <w:num w:numId="32" w16cid:durableId="1822193816">
    <w:abstractNumId w:val="35"/>
  </w:num>
  <w:num w:numId="33" w16cid:durableId="1447846093">
    <w:abstractNumId w:val="21"/>
  </w:num>
  <w:num w:numId="34" w16cid:durableId="742095961">
    <w:abstractNumId w:val="31"/>
  </w:num>
  <w:num w:numId="35" w16cid:durableId="1492600048">
    <w:abstractNumId w:val="20"/>
  </w:num>
  <w:num w:numId="36" w16cid:durableId="896278284">
    <w:abstractNumId w:val="28"/>
  </w:num>
  <w:num w:numId="37" w16cid:durableId="1622613839">
    <w:abstractNumId w:val="0"/>
  </w:num>
  <w:num w:numId="38" w16cid:durableId="464852217">
    <w:abstractNumId w:val="12"/>
  </w:num>
  <w:num w:numId="39" w16cid:durableId="2119907381">
    <w:abstractNumId w:val="2"/>
  </w:num>
  <w:num w:numId="40" w16cid:durableId="92518988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3DE9"/>
    <w:rsid w:val="00044962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0A9D"/>
    <w:rsid w:val="000C25DE"/>
    <w:rsid w:val="000C328B"/>
    <w:rsid w:val="000C3471"/>
    <w:rsid w:val="000C3BA5"/>
    <w:rsid w:val="000C5C6C"/>
    <w:rsid w:val="000C772D"/>
    <w:rsid w:val="000C7BDD"/>
    <w:rsid w:val="000D1389"/>
    <w:rsid w:val="000D5B84"/>
    <w:rsid w:val="000E0B15"/>
    <w:rsid w:val="000E2BFB"/>
    <w:rsid w:val="000E4268"/>
    <w:rsid w:val="000E43BF"/>
    <w:rsid w:val="000E54FF"/>
    <w:rsid w:val="000E672F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C1793"/>
    <w:rsid w:val="001C1E09"/>
    <w:rsid w:val="001C2D10"/>
    <w:rsid w:val="001C2E6B"/>
    <w:rsid w:val="001C2F66"/>
    <w:rsid w:val="001C6359"/>
    <w:rsid w:val="001D2DFB"/>
    <w:rsid w:val="001D4B65"/>
    <w:rsid w:val="001D4FB2"/>
    <w:rsid w:val="001E0C93"/>
    <w:rsid w:val="001E6C2D"/>
    <w:rsid w:val="001F17A8"/>
    <w:rsid w:val="001F1A0D"/>
    <w:rsid w:val="001F351A"/>
    <w:rsid w:val="001F5C45"/>
    <w:rsid w:val="001F6C79"/>
    <w:rsid w:val="001F7D89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5B0F"/>
    <w:rsid w:val="00276808"/>
    <w:rsid w:val="00277BC7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0F8D"/>
    <w:rsid w:val="00322109"/>
    <w:rsid w:val="00327269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DCD"/>
    <w:rsid w:val="00356FF5"/>
    <w:rsid w:val="003603B2"/>
    <w:rsid w:val="0036213E"/>
    <w:rsid w:val="0036289C"/>
    <w:rsid w:val="00364FD7"/>
    <w:rsid w:val="00365213"/>
    <w:rsid w:val="003656B7"/>
    <w:rsid w:val="00371879"/>
    <w:rsid w:val="00372070"/>
    <w:rsid w:val="0037565D"/>
    <w:rsid w:val="00375929"/>
    <w:rsid w:val="00375D79"/>
    <w:rsid w:val="0038063C"/>
    <w:rsid w:val="00382EBC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21F2"/>
    <w:rsid w:val="003C247C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FD2"/>
    <w:rsid w:val="003E3F2B"/>
    <w:rsid w:val="003E47A9"/>
    <w:rsid w:val="003E60D0"/>
    <w:rsid w:val="003F015B"/>
    <w:rsid w:val="003F0F64"/>
    <w:rsid w:val="003F229F"/>
    <w:rsid w:val="003F3823"/>
    <w:rsid w:val="003F4276"/>
    <w:rsid w:val="003F7976"/>
    <w:rsid w:val="004003DE"/>
    <w:rsid w:val="004005C1"/>
    <w:rsid w:val="00400CA0"/>
    <w:rsid w:val="0040235E"/>
    <w:rsid w:val="00402548"/>
    <w:rsid w:val="00404793"/>
    <w:rsid w:val="004069E1"/>
    <w:rsid w:val="00407B98"/>
    <w:rsid w:val="004128D7"/>
    <w:rsid w:val="004133B3"/>
    <w:rsid w:val="0041485C"/>
    <w:rsid w:val="004161C3"/>
    <w:rsid w:val="004167E0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324"/>
    <w:rsid w:val="0045258C"/>
    <w:rsid w:val="00454377"/>
    <w:rsid w:val="00456D70"/>
    <w:rsid w:val="00457E3A"/>
    <w:rsid w:val="0046131D"/>
    <w:rsid w:val="0046334F"/>
    <w:rsid w:val="00464CF7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A1530"/>
    <w:rsid w:val="004A371E"/>
    <w:rsid w:val="004A5849"/>
    <w:rsid w:val="004B0319"/>
    <w:rsid w:val="004B10D2"/>
    <w:rsid w:val="004C2EBD"/>
    <w:rsid w:val="004C3487"/>
    <w:rsid w:val="004C5771"/>
    <w:rsid w:val="004D2EA7"/>
    <w:rsid w:val="004D58DF"/>
    <w:rsid w:val="004E08D2"/>
    <w:rsid w:val="004E1384"/>
    <w:rsid w:val="004E24DC"/>
    <w:rsid w:val="004E2872"/>
    <w:rsid w:val="004E3869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5FCD"/>
    <w:rsid w:val="00537CFF"/>
    <w:rsid w:val="005419B1"/>
    <w:rsid w:val="005439D8"/>
    <w:rsid w:val="0054478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F46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0CFB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3977"/>
    <w:rsid w:val="00621520"/>
    <w:rsid w:val="00626FA2"/>
    <w:rsid w:val="006376EB"/>
    <w:rsid w:val="00643D95"/>
    <w:rsid w:val="006500D7"/>
    <w:rsid w:val="006539B9"/>
    <w:rsid w:val="00653C3E"/>
    <w:rsid w:val="00654CE2"/>
    <w:rsid w:val="006553E7"/>
    <w:rsid w:val="00656C0A"/>
    <w:rsid w:val="00657A8E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4768"/>
    <w:rsid w:val="0067481B"/>
    <w:rsid w:val="00675DD0"/>
    <w:rsid w:val="00676668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6EF9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6025"/>
    <w:rsid w:val="007B6071"/>
    <w:rsid w:val="007B7EF4"/>
    <w:rsid w:val="007C083F"/>
    <w:rsid w:val="007C1BE2"/>
    <w:rsid w:val="007C315E"/>
    <w:rsid w:val="007C4985"/>
    <w:rsid w:val="007C49DB"/>
    <w:rsid w:val="007C6663"/>
    <w:rsid w:val="007D07F2"/>
    <w:rsid w:val="007D2263"/>
    <w:rsid w:val="007D226D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20ED"/>
    <w:rsid w:val="0080339B"/>
    <w:rsid w:val="00803ED9"/>
    <w:rsid w:val="00804375"/>
    <w:rsid w:val="0080607B"/>
    <w:rsid w:val="00806A68"/>
    <w:rsid w:val="00807A99"/>
    <w:rsid w:val="008109C3"/>
    <w:rsid w:val="00810DC2"/>
    <w:rsid w:val="008119D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10D3"/>
    <w:rsid w:val="008B2117"/>
    <w:rsid w:val="008B2B33"/>
    <w:rsid w:val="008B34A5"/>
    <w:rsid w:val="008B3D96"/>
    <w:rsid w:val="008B4489"/>
    <w:rsid w:val="008B5773"/>
    <w:rsid w:val="008B65E6"/>
    <w:rsid w:val="008C25FD"/>
    <w:rsid w:val="008C68A8"/>
    <w:rsid w:val="008C7BEB"/>
    <w:rsid w:val="008D020B"/>
    <w:rsid w:val="008D21F0"/>
    <w:rsid w:val="008D2F92"/>
    <w:rsid w:val="008D4780"/>
    <w:rsid w:val="008D6B36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4949"/>
    <w:rsid w:val="00935E72"/>
    <w:rsid w:val="00937996"/>
    <w:rsid w:val="00946BEF"/>
    <w:rsid w:val="00946F67"/>
    <w:rsid w:val="00950C89"/>
    <w:rsid w:val="0095118C"/>
    <w:rsid w:val="00953007"/>
    <w:rsid w:val="00953C9B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491E"/>
    <w:rsid w:val="009971C2"/>
    <w:rsid w:val="00997F28"/>
    <w:rsid w:val="009A41AE"/>
    <w:rsid w:val="009B0DEE"/>
    <w:rsid w:val="009B143F"/>
    <w:rsid w:val="009B1BB0"/>
    <w:rsid w:val="009B24A5"/>
    <w:rsid w:val="009B37B0"/>
    <w:rsid w:val="009B5927"/>
    <w:rsid w:val="009B6100"/>
    <w:rsid w:val="009C0565"/>
    <w:rsid w:val="009C0EE1"/>
    <w:rsid w:val="009C211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5742"/>
    <w:rsid w:val="009D64DB"/>
    <w:rsid w:val="009D677D"/>
    <w:rsid w:val="009E0E95"/>
    <w:rsid w:val="009E230F"/>
    <w:rsid w:val="009E277B"/>
    <w:rsid w:val="009E2B3E"/>
    <w:rsid w:val="009E382F"/>
    <w:rsid w:val="009E6A51"/>
    <w:rsid w:val="009E6B99"/>
    <w:rsid w:val="009F0FAD"/>
    <w:rsid w:val="009F1F4E"/>
    <w:rsid w:val="009F24A8"/>
    <w:rsid w:val="009F559C"/>
    <w:rsid w:val="009F64A1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771E"/>
    <w:rsid w:val="00A30C0B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55C4"/>
    <w:rsid w:val="00A57AA3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3333"/>
    <w:rsid w:val="00A8407D"/>
    <w:rsid w:val="00A8559D"/>
    <w:rsid w:val="00A85EB7"/>
    <w:rsid w:val="00A866EA"/>
    <w:rsid w:val="00A915B6"/>
    <w:rsid w:val="00A918D2"/>
    <w:rsid w:val="00A924CB"/>
    <w:rsid w:val="00AA2D0E"/>
    <w:rsid w:val="00AA3208"/>
    <w:rsid w:val="00AA4AD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09F"/>
    <w:rsid w:val="00AD3620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65CB"/>
    <w:rsid w:val="00B41F3A"/>
    <w:rsid w:val="00B42E2F"/>
    <w:rsid w:val="00B441E8"/>
    <w:rsid w:val="00B44488"/>
    <w:rsid w:val="00B47E63"/>
    <w:rsid w:val="00B53880"/>
    <w:rsid w:val="00B546CF"/>
    <w:rsid w:val="00B567BF"/>
    <w:rsid w:val="00B57159"/>
    <w:rsid w:val="00B5798D"/>
    <w:rsid w:val="00B6075A"/>
    <w:rsid w:val="00B639A6"/>
    <w:rsid w:val="00B6410D"/>
    <w:rsid w:val="00B73C75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6E96"/>
    <w:rsid w:val="00B8723A"/>
    <w:rsid w:val="00B9031C"/>
    <w:rsid w:val="00B9095F"/>
    <w:rsid w:val="00B90D75"/>
    <w:rsid w:val="00B91046"/>
    <w:rsid w:val="00B93765"/>
    <w:rsid w:val="00B93E4A"/>
    <w:rsid w:val="00BA3258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5CA4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22BB"/>
    <w:rsid w:val="00C626E0"/>
    <w:rsid w:val="00C63311"/>
    <w:rsid w:val="00C64A44"/>
    <w:rsid w:val="00C64C9F"/>
    <w:rsid w:val="00C679E0"/>
    <w:rsid w:val="00C7232C"/>
    <w:rsid w:val="00C725F0"/>
    <w:rsid w:val="00C746B2"/>
    <w:rsid w:val="00C752AB"/>
    <w:rsid w:val="00C77536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E13"/>
    <w:rsid w:val="00CC74C1"/>
    <w:rsid w:val="00CD2232"/>
    <w:rsid w:val="00CD3909"/>
    <w:rsid w:val="00CD3ABE"/>
    <w:rsid w:val="00CD57E0"/>
    <w:rsid w:val="00CE0664"/>
    <w:rsid w:val="00CE091A"/>
    <w:rsid w:val="00CE0C44"/>
    <w:rsid w:val="00CE179B"/>
    <w:rsid w:val="00CE1F35"/>
    <w:rsid w:val="00CE20EC"/>
    <w:rsid w:val="00CE3A26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2E80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691"/>
    <w:rsid w:val="00D5787C"/>
    <w:rsid w:val="00D66E2D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22B5"/>
    <w:rsid w:val="00DC3A83"/>
    <w:rsid w:val="00DC59DF"/>
    <w:rsid w:val="00DD102D"/>
    <w:rsid w:val="00DD6BC7"/>
    <w:rsid w:val="00DD7F81"/>
    <w:rsid w:val="00DE04BA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6701"/>
    <w:rsid w:val="00E0674A"/>
    <w:rsid w:val="00E077C0"/>
    <w:rsid w:val="00E12A92"/>
    <w:rsid w:val="00E136EC"/>
    <w:rsid w:val="00E15000"/>
    <w:rsid w:val="00E17045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716"/>
    <w:rsid w:val="00E80A5B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40F4"/>
    <w:rsid w:val="00EC47DB"/>
    <w:rsid w:val="00EC5211"/>
    <w:rsid w:val="00ED0882"/>
    <w:rsid w:val="00ED51F7"/>
    <w:rsid w:val="00ED6062"/>
    <w:rsid w:val="00ED7814"/>
    <w:rsid w:val="00ED7972"/>
    <w:rsid w:val="00ED7B66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3B44"/>
    <w:rsid w:val="00F64FBD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48F8"/>
    <w:rsid w:val="00F93EDC"/>
    <w:rsid w:val="00FA0327"/>
    <w:rsid w:val="00FA16DE"/>
    <w:rsid w:val="00FA2C48"/>
    <w:rsid w:val="00FA36D6"/>
    <w:rsid w:val="00FA5F7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C69"/>
    <w:rsid w:val="00FE054C"/>
    <w:rsid w:val="00FE2F9C"/>
    <w:rsid w:val="00FE44C2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D98F28"/>
  <w14:defaultImageDpi w14:val="32767"/>
  <w15:docId w15:val="{76525F89-F67C-4DB1-A2C4-BE566006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D4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http://www.w3.org/TR/WCAG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w3.org/TR/2008/REC-WCAG20-20081211" TargetMode="External"/><Relationship Id="rId5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17982-3F3B-4F51-AE88-454F5279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14294</CharactersWithSpaces>
  <SharedDoc>false</SharedDoc>
  <HLinks>
    <vt:vector size="636" baseType="variant">
      <vt:variant>
        <vt:i4>1966157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603-support-services</vt:lpwstr>
      </vt:variant>
      <vt:variant>
        <vt:i4>262166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WCAG</vt:lpwstr>
      </vt:variant>
      <vt:variant>
        <vt:i4>852045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602-support-documentation</vt:lpwstr>
      </vt:variant>
      <vt:variant>
        <vt:i4>2490401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601-general</vt:lpwstr>
      </vt:variant>
      <vt:variant>
        <vt:i4>262166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WCAG</vt:lpwstr>
      </vt:variant>
      <vt:variant>
        <vt:i4>6815795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504-authoring-tools</vt:lpwstr>
      </vt:variant>
      <vt:variant>
        <vt:i4>5242949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503-applications</vt:lpwstr>
      </vt:variant>
      <vt:variant>
        <vt:i4>4259928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502-interoperability-assistive-technology</vt:lpwstr>
      </vt:variant>
      <vt:variant>
        <vt:i4>262166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WCAG</vt:lpwstr>
      </vt:variant>
      <vt:variant>
        <vt:i4>2490402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501-general</vt:lpwstr>
      </vt:variant>
      <vt:variant>
        <vt:i4>524314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415-user-controls-captions-audio-descriptions</vt:lpwstr>
      </vt:variant>
      <vt:variant>
        <vt:i4>196683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414-audio-description</vt:lpwstr>
      </vt:variant>
      <vt:variant>
        <vt:i4>2687076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413-closed-caption</vt:lpwstr>
      </vt:variant>
      <vt:variant>
        <vt:i4>4456532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412-two-way-communication</vt:lpwstr>
      </vt:variant>
      <vt:variant>
        <vt:i4>7340079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411-audible-signals</vt:lpwstr>
      </vt:variant>
      <vt:variant>
        <vt:i4>655437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410-color-coding</vt:lpwstr>
      </vt:variant>
      <vt:variant>
        <vt:i4>6029331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409-status-indicators</vt:lpwstr>
      </vt:variant>
      <vt:variant>
        <vt:i4>7995447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408-display-screens</vt:lpwstr>
      </vt:variant>
      <vt:variant>
        <vt:i4>3342433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407-operable-parts</vt:lpwstr>
      </vt:variant>
      <vt:variant>
        <vt:i4>5767187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406-standard-connections</vt:lpwstr>
      </vt:variant>
      <vt:variant>
        <vt:i4>2097188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405-privacy</vt:lpwstr>
      </vt:variant>
      <vt:variant>
        <vt:i4>4784154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404-preservation-information</vt:lpwstr>
      </vt:variant>
      <vt:variant>
        <vt:i4>2949155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403-biometrics</vt:lpwstr>
      </vt:variant>
      <vt:variant>
        <vt:i4>6160406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402-closed-functionality</vt:lpwstr>
      </vt:variant>
      <vt:variant>
        <vt:i4>2490403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401-general</vt:lpwstr>
      </vt:variant>
      <vt:variant>
        <vt:i4>3604521</vt:i4>
      </vt:variant>
      <vt:variant>
        <vt:i4>267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>302-functional-performance-criteria</vt:lpwstr>
      </vt:variant>
      <vt:variant>
        <vt:i4>851992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5898333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917530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5898333</vt:i4>
      </vt:variant>
      <vt:variant>
        <vt:i4>60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5898333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https://www.access-board.gov/guidelines-and-standards/communications-and-it/about-the-ict-refresh/final-rule/text-of-the-standards-and-guidelines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mvandooz</dc:creator>
  <cp:lastModifiedBy>Adam Tramp</cp:lastModifiedBy>
  <cp:revision>4</cp:revision>
  <cp:lastPrinted>2017-06-09T18:26:00Z</cp:lastPrinted>
  <dcterms:created xsi:type="dcterms:W3CDTF">2019-10-25T13:03:00Z</dcterms:created>
  <dcterms:modified xsi:type="dcterms:W3CDTF">2023-11-13T20:47:00Z</dcterms:modified>
</cp:coreProperties>
</file>