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11" w:rsidRPr="00EC7FC1" w:rsidRDefault="00541C11" w:rsidP="00541C11">
      <w:pPr>
        <w:pStyle w:val="Heading1"/>
        <w:jc w:val="center"/>
        <w:rPr>
          <w:rFonts w:ascii="Calibri" w:hAnsi="Calibri"/>
          <w:b/>
          <w:sz w:val="48"/>
          <w:szCs w:val="48"/>
        </w:rPr>
      </w:pPr>
      <w:bookmarkStart w:id="0" w:name="_Toc501632787"/>
      <w:bookmarkStart w:id="1" w:name="_Toc501718858"/>
      <w:r w:rsidRPr="00F60E5D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565DFF1" wp14:editId="404D0E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5425" cy="1543050"/>
            <wp:effectExtent l="0" t="0" r="0" b="0"/>
            <wp:wrapSquare wrapText="bothSides"/>
            <wp:docPr id="1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0" t="13565" r="9677" b="31132"/>
                    <a:stretch/>
                  </pic:blipFill>
                  <pic:spPr bwMode="auto">
                    <a:xfrm>
                      <a:off x="0" y="0"/>
                      <a:ext cx="27654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FC1">
        <w:rPr>
          <w:rFonts w:ascii="Calibri" w:hAnsi="Calibri"/>
          <w:b/>
          <w:color w:val="auto"/>
          <w:sz w:val="48"/>
          <w:szCs w:val="48"/>
        </w:rPr>
        <w:t>CONFIDENTIALITY OF LIBRARY RECORDS</w:t>
      </w:r>
      <w:bookmarkEnd w:id="0"/>
      <w:bookmarkEnd w:id="1"/>
      <w:r>
        <w:rPr>
          <w:rFonts w:ascii="Calibri" w:hAnsi="Calibri"/>
          <w:b/>
          <w:color w:val="auto"/>
          <w:sz w:val="48"/>
          <w:szCs w:val="48"/>
        </w:rPr>
        <w:fldChar w:fldCharType="begin"/>
      </w:r>
      <w:r>
        <w:instrText xml:space="preserve"> XE "</w:instrText>
      </w:r>
      <w:r w:rsidRPr="000441B8">
        <w:rPr>
          <w:rFonts w:ascii="Calibri" w:hAnsi="Calibri"/>
          <w:b/>
          <w:color w:val="auto"/>
          <w:sz w:val="48"/>
          <w:szCs w:val="48"/>
        </w:rPr>
        <w:instrText>CONFIDENTIALITY OF LIBRARY RECORDS</w:instrText>
      </w:r>
      <w:r>
        <w:instrText xml:space="preserve">" </w:instrText>
      </w:r>
      <w:r>
        <w:rPr>
          <w:rFonts w:ascii="Calibri" w:hAnsi="Calibri"/>
          <w:b/>
          <w:color w:val="auto"/>
          <w:sz w:val="48"/>
          <w:szCs w:val="48"/>
        </w:rPr>
        <w:fldChar w:fldCharType="end"/>
      </w:r>
    </w:p>
    <w:p w:rsidR="00541C11" w:rsidRDefault="00541C11" w:rsidP="00541C11">
      <w:pPr>
        <w:rPr>
          <w:rFonts w:asciiTheme="majorHAnsi" w:hAnsiTheme="majorHAnsi"/>
          <w:b/>
        </w:rPr>
      </w:pPr>
    </w:p>
    <w:p w:rsidR="00541C11" w:rsidRDefault="00541C11" w:rsidP="00541C11">
      <w:pPr>
        <w:rPr>
          <w:rFonts w:asciiTheme="majorHAnsi" w:hAnsiTheme="majorHAnsi"/>
          <w:b/>
        </w:rPr>
      </w:pPr>
    </w:p>
    <w:p w:rsidR="00541C11" w:rsidRDefault="00541C11" w:rsidP="00541C11">
      <w:pPr>
        <w:rPr>
          <w:rFonts w:asciiTheme="majorHAnsi" w:hAnsiTheme="majorHAnsi"/>
        </w:rPr>
      </w:pPr>
    </w:p>
    <w:p w:rsidR="00541C11" w:rsidRDefault="00541C11" w:rsidP="00541C11">
      <w:pPr>
        <w:rPr>
          <w:rFonts w:ascii="Calibri" w:hAnsi="Calibri"/>
        </w:rPr>
      </w:pPr>
    </w:p>
    <w:p w:rsidR="00541C11" w:rsidRDefault="00541C11" w:rsidP="00541C11">
      <w:pPr>
        <w:rPr>
          <w:rFonts w:ascii="Calibri" w:hAnsi="Calibri"/>
        </w:rPr>
      </w:pPr>
    </w:p>
    <w:p w:rsidR="00541C11" w:rsidRPr="002C4041" w:rsidRDefault="00541C11" w:rsidP="00541C11">
      <w:pPr>
        <w:rPr>
          <w:rFonts w:ascii="Calibri" w:hAnsi="Calibri"/>
        </w:rPr>
      </w:pPr>
      <w:r w:rsidRPr="002C4041">
        <w:rPr>
          <w:rFonts w:ascii="Calibri" w:hAnsi="Calibri"/>
        </w:rPr>
        <w:t>The</w:t>
      </w:r>
      <w:r w:rsidR="000D5C53">
        <w:rPr>
          <w:rFonts w:ascii="Calibri" w:hAnsi="Calibri"/>
        </w:rPr>
        <w:t xml:space="preserve"> Aurora Public L</w:t>
      </w:r>
      <w:r w:rsidRPr="002C4041">
        <w:rPr>
          <w:rFonts w:ascii="Calibri" w:hAnsi="Calibri"/>
        </w:rPr>
        <w:t>ibrary is bound by the Illinois Records Confidentiality Act</w:t>
      </w:r>
      <w:r w:rsidR="000D5C53">
        <w:rPr>
          <w:rFonts w:ascii="Calibri" w:hAnsi="Calibri"/>
        </w:rPr>
        <w:t xml:space="preserve"> (75 ILCS 70/1-2)</w:t>
      </w:r>
      <w:r w:rsidRPr="002C4041">
        <w:rPr>
          <w:rFonts w:ascii="Calibri" w:hAnsi="Calibri"/>
        </w:rPr>
        <w:t>.  This act generally prohibits the library from making available to the public an</w:t>
      </w:r>
      <w:r w:rsidR="000D5C53">
        <w:rPr>
          <w:rFonts w:ascii="Calibri" w:hAnsi="Calibri"/>
        </w:rPr>
        <w:t>y</w:t>
      </w:r>
      <w:r w:rsidRPr="002C4041">
        <w:rPr>
          <w:rFonts w:ascii="Calibri" w:hAnsi="Calibri"/>
        </w:rPr>
        <w:t xml:space="preserve"> registration</w:t>
      </w:r>
      <w:r w:rsidR="009B7358">
        <w:rPr>
          <w:rFonts w:ascii="Calibri" w:hAnsi="Calibri"/>
        </w:rPr>
        <w:t xml:space="preserve">, </w:t>
      </w:r>
      <w:r w:rsidRPr="002C4041">
        <w:rPr>
          <w:rFonts w:ascii="Calibri" w:hAnsi="Calibri"/>
        </w:rPr>
        <w:t>circulation</w:t>
      </w:r>
      <w:r w:rsidR="009B7358">
        <w:rPr>
          <w:rFonts w:ascii="Calibri" w:hAnsi="Calibri"/>
        </w:rPr>
        <w:t>, computer use, or database search</w:t>
      </w:r>
      <w:r w:rsidRPr="002C4041">
        <w:rPr>
          <w:rFonts w:ascii="Calibri" w:hAnsi="Calibri"/>
        </w:rPr>
        <w:t xml:space="preserve"> </w:t>
      </w:r>
      <w:proofErr w:type="gramStart"/>
      <w:r w:rsidRPr="002C4041">
        <w:rPr>
          <w:rFonts w:ascii="Calibri" w:hAnsi="Calibri"/>
        </w:rPr>
        <w:t>record which</w:t>
      </w:r>
      <w:proofErr w:type="gramEnd"/>
      <w:r w:rsidRPr="002C4041">
        <w:rPr>
          <w:rFonts w:ascii="Calibri" w:hAnsi="Calibri"/>
        </w:rPr>
        <w:t xml:space="preserve"> is related to any named library user. The library respects the rights of its </w:t>
      </w:r>
      <w:r w:rsidR="000D5C53">
        <w:rPr>
          <w:rFonts w:ascii="Calibri" w:hAnsi="Calibri"/>
        </w:rPr>
        <w:t>customers</w:t>
      </w:r>
      <w:r w:rsidR="000D5C53" w:rsidRPr="002C4041">
        <w:rPr>
          <w:rFonts w:ascii="Calibri" w:hAnsi="Calibri"/>
        </w:rPr>
        <w:t xml:space="preserve"> </w:t>
      </w:r>
      <w:r w:rsidRPr="002C4041">
        <w:rPr>
          <w:rFonts w:ascii="Calibri" w:hAnsi="Calibri"/>
        </w:rPr>
        <w:t>to confidentiality. The library will provide information on an individual’s record only upon request of the individual</w:t>
      </w:r>
      <w:r w:rsidR="007A2304">
        <w:rPr>
          <w:rFonts w:ascii="Calibri" w:hAnsi="Calibri"/>
        </w:rPr>
        <w:t xml:space="preserve"> or the individual’s legal guardian</w:t>
      </w:r>
      <w:r w:rsidRPr="002C4041">
        <w:rPr>
          <w:rFonts w:ascii="Calibri" w:hAnsi="Calibri"/>
        </w:rPr>
        <w:t>.</w:t>
      </w:r>
    </w:p>
    <w:p w:rsidR="00541C11" w:rsidRPr="002C4041" w:rsidRDefault="00541C11" w:rsidP="00541C11">
      <w:pPr>
        <w:rPr>
          <w:rFonts w:ascii="Calibri" w:hAnsi="Calibri"/>
        </w:rPr>
      </w:pPr>
    </w:p>
    <w:p w:rsidR="00541C11" w:rsidRDefault="00541C11" w:rsidP="00541C11">
      <w:pPr>
        <w:rPr>
          <w:rFonts w:ascii="Calibri" w:hAnsi="Calibri"/>
        </w:rPr>
      </w:pPr>
      <w:r w:rsidRPr="002C4041">
        <w:rPr>
          <w:rFonts w:ascii="Calibri" w:hAnsi="Calibri"/>
        </w:rPr>
        <w:t>Anyone seeking information on an individual’s registration</w:t>
      </w:r>
      <w:r w:rsidR="009B7358">
        <w:rPr>
          <w:rFonts w:ascii="Calibri" w:hAnsi="Calibri"/>
        </w:rPr>
        <w:t>,</w:t>
      </w:r>
      <w:r w:rsidRPr="002C4041">
        <w:rPr>
          <w:rFonts w:ascii="Calibri" w:hAnsi="Calibri"/>
        </w:rPr>
        <w:t xml:space="preserve"> circulation</w:t>
      </w:r>
      <w:r w:rsidR="009B7358">
        <w:rPr>
          <w:rFonts w:ascii="Calibri" w:hAnsi="Calibri"/>
        </w:rPr>
        <w:t>, computer use, or database search</w:t>
      </w:r>
      <w:r w:rsidRPr="002C4041">
        <w:rPr>
          <w:rFonts w:ascii="Calibri" w:hAnsi="Calibri"/>
        </w:rPr>
        <w:t xml:space="preserve"> record that is not his or her own or that</w:t>
      </w:r>
      <w:r w:rsidR="006D61F1">
        <w:rPr>
          <w:rFonts w:ascii="Calibri" w:hAnsi="Calibri"/>
        </w:rPr>
        <w:t xml:space="preserve"> of</w:t>
      </w:r>
      <w:r w:rsidRPr="002C4041">
        <w:rPr>
          <w:rFonts w:ascii="Calibri" w:hAnsi="Calibri"/>
        </w:rPr>
        <w:t xml:space="preserve"> his or her minor child must obtain a</w:t>
      </w:r>
      <w:r w:rsidR="000D5C53">
        <w:rPr>
          <w:rFonts w:ascii="Calibri" w:hAnsi="Calibri"/>
        </w:rPr>
        <w:t xml:space="preserve"> court</w:t>
      </w:r>
      <w:r w:rsidRPr="002C4041">
        <w:rPr>
          <w:rFonts w:ascii="Calibri" w:hAnsi="Calibri"/>
        </w:rPr>
        <w:t xml:space="preserve"> order. Upon receipt of the court order to reveal confidential information, the </w:t>
      </w:r>
      <w:r w:rsidR="000D5C53">
        <w:rPr>
          <w:rFonts w:ascii="Calibri" w:hAnsi="Calibri"/>
        </w:rPr>
        <w:t>Executive</w:t>
      </w:r>
      <w:r w:rsidR="000D5C53" w:rsidRPr="002C4041">
        <w:rPr>
          <w:rFonts w:ascii="Calibri" w:hAnsi="Calibri"/>
        </w:rPr>
        <w:t xml:space="preserve"> </w:t>
      </w:r>
      <w:r w:rsidRPr="002C4041">
        <w:rPr>
          <w:rFonts w:ascii="Calibri" w:hAnsi="Calibri"/>
        </w:rPr>
        <w:t xml:space="preserve">Director </w:t>
      </w:r>
      <w:r w:rsidR="000D5C53">
        <w:rPr>
          <w:rFonts w:ascii="Calibri" w:hAnsi="Calibri"/>
        </w:rPr>
        <w:t>may</w:t>
      </w:r>
      <w:r w:rsidR="000D5C53" w:rsidRPr="002C4041">
        <w:rPr>
          <w:rFonts w:ascii="Calibri" w:hAnsi="Calibri"/>
        </w:rPr>
        <w:t xml:space="preserve"> </w:t>
      </w:r>
      <w:r w:rsidRPr="002C4041">
        <w:rPr>
          <w:rFonts w:ascii="Calibri" w:hAnsi="Calibri"/>
        </w:rPr>
        <w:t>consult with the library’s legal counsel to confirm that the request complies with the law.</w:t>
      </w:r>
    </w:p>
    <w:p w:rsidR="000D5C53" w:rsidRDefault="000D5C53" w:rsidP="00541C11">
      <w:pPr>
        <w:rPr>
          <w:rFonts w:ascii="Calibri" w:hAnsi="Calibri"/>
        </w:rPr>
      </w:pPr>
    </w:p>
    <w:p w:rsidR="000D5C53" w:rsidRDefault="000D5C53" w:rsidP="00541C11">
      <w:pPr>
        <w:rPr>
          <w:rFonts w:asciiTheme="minorHAnsi" w:hAnsiTheme="minorHAnsi"/>
        </w:rPr>
      </w:pPr>
      <w:r w:rsidRPr="00C76E8C">
        <w:rPr>
          <w:rFonts w:asciiTheme="minorHAnsi" w:hAnsiTheme="minorHAnsi"/>
        </w:rPr>
        <w:t>75 ILCS 70/1-</w:t>
      </w:r>
      <w:proofErr w:type="gramStart"/>
      <w:r w:rsidRPr="00C76E8C">
        <w:rPr>
          <w:rFonts w:asciiTheme="minorHAnsi" w:hAnsiTheme="minorHAnsi"/>
        </w:rPr>
        <w:t>2</w:t>
      </w:r>
      <w:proofErr w:type="gramEnd"/>
      <w:r w:rsidRPr="00C76E8C">
        <w:rPr>
          <w:rFonts w:asciiTheme="minorHAnsi" w:hAnsiTheme="minorHAnsi"/>
        </w:rPr>
        <w:t xml:space="preserve"> allows certain exceptions in </w:t>
      </w:r>
      <w:r>
        <w:rPr>
          <w:rFonts w:asciiTheme="minorHAnsi" w:hAnsiTheme="minorHAnsi"/>
        </w:rPr>
        <w:t>certain</w:t>
      </w:r>
      <w:r w:rsidRPr="00C76E8C">
        <w:rPr>
          <w:rFonts w:asciiTheme="minorHAnsi" w:hAnsiTheme="minorHAnsi"/>
        </w:rPr>
        <w:t xml:space="preserve"> situations. Enforcement officers may request information in </w:t>
      </w:r>
      <w:proofErr w:type="gramStart"/>
      <w:r w:rsidRPr="00C76E8C">
        <w:rPr>
          <w:rFonts w:asciiTheme="minorHAnsi" w:hAnsiTheme="minorHAnsi"/>
        </w:rPr>
        <w:t>emergency situations</w:t>
      </w:r>
      <w:proofErr w:type="gramEnd"/>
      <w:r w:rsidRPr="00C76E8C">
        <w:rPr>
          <w:rFonts w:asciiTheme="minorHAnsi" w:hAnsiTheme="minorHAnsi"/>
        </w:rPr>
        <w:t xml:space="preserve"> regarding the identity of suspects, witnesses, or victims where the officer believes there is imminent danger of physical harm, provided: </w:t>
      </w:r>
    </w:p>
    <w:p w:rsidR="006D61F1" w:rsidRDefault="000D5C53" w:rsidP="00C76E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76E8C">
        <w:rPr>
          <w:rFonts w:asciiTheme="minorHAnsi" w:hAnsiTheme="minorHAnsi"/>
        </w:rPr>
        <w:t xml:space="preserve">A sworn law enforcement officer represents to the library it is impractical to get a court order as a result of an emergency; and </w:t>
      </w:r>
    </w:p>
    <w:p w:rsidR="006D61F1" w:rsidRDefault="000D5C53" w:rsidP="00C76E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76E8C">
        <w:rPr>
          <w:rFonts w:asciiTheme="minorHAnsi" w:hAnsiTheme="minorHAnsi"/>
        </w:rPr>
        <w:t xml:space="preserve">The officer has probable cause to believe there is imminent danger of physical harm; and </w:t>
      </w:r>
    </w:p>
    <w:p w:rsidR="006D61F1" w:rsidRDefault="006D61F1" w:rsidP="00C76E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61F1">
        <w:rPr>
          <w:rFonts w:asciiTheme="minorHAnsi" w:hAnsiTheme="minorHAnsi"/>
        </w:rPr>
        <w:t>T</w:t>
      </w:r>
      <w:r w:rsidR="000D5C53" w:rsidRPr="00C76E8C">
        <w:rPr>
          <w:rFonts w:asciiTheme="minorHAnsi" w:hAnsiTheme="minorHAnsi"/>
        </w:rPr>
        <w:t xml:space="preserve">he information requested is limited to identifying a suspect, witness or victim of a crime; and </w:t>
      </w:r>
    </w:p>
    <w:p w:rsidR="000D5C53" w:rsidRPr="006D61F1" w:rsidRDefault="000D5C53" w:rsidP="00C76E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76E8C">
        <w:rPr>
          <w:rFonts w:asciiTheme="minorHAnsi" w:hAnsiTheme="minorHAnsi"/>
        </w:rPr>
        <w:t xml:space="preserve">The information requested does not include records reflecting materials borrowed, resources reviewed, or services used at the library. </w:t>
      </w:r>
    </w:p>
    <w:p w:rsidR="000D5C53" w:rsidRDefault="000D5C53" w:rsidP="00541C11">
      <w:pPr>
        <w:rPr>
          <w:rFonts w:asciiTheme="minorHAnsi" w:hAnsiTheme="minorHAnsi"/>
        </w:rPr>
      </w:pPr>
    </w:p>
    <w:p w:rsidR="006D61F1" w:rsidRPr="00C76E8C" w:rsidRDefault="000D5C53" w:rsidP="00541C11">
      <w:pPr>
        <w:rPr>
          <w:rFonts w:asciiTheme="minorHAnsi" w:hAnsiTheme="minorHAnsi"/>
        </w:rPr>
      </w:pPr>
      <w:r w:rsidRPr="00C76E8C">
        <w:rPr>
          <w:rFonts w:asciiTheme="minorHAnsi" w:hAnsiTheme="minorHAnsi"/>
        </w:rPr>
        <w:t xml:space="preserve">Under this exception, only information identifying a suspect, witness or victim of a crime </w:t>
      </w:r>
      <w:proofErr w:type="gramStart"/>
      <w:r w:rsidRPr="00C76E8C">
        <w:rPr>
          <w:rFonts w:asciiTheme="minorHAnsi" w:hAnsiTheme="minorHAnsi"/>
        </w:rPr>
        <w:t>may be disclosed</w:t>
      </w:r>
      <w:proofErr w:type="gramEnd"/>
      <w:r w:rsidRPr="00C76E8C">
        <w:rPr>
          <w:rFonts w:asciiTheme="minorHAnsi" w:hAnsiTheme="minorHAnsi"/>
        </w:rPr>
        <w:t xml:space="preserve"> to an officer without a court order; all other information remains confidential without a court order. </w:t>
      </w:r>
    </w:p>
    <w:p w:rsidR="00541C11" w:rsidRPr="002C4041" w:rsidRDefault="00541C11" w:rsidP="00541C11">
      <w:pPr>
        <w:rPr>
          <w:rFonts w:ascii="Calibri" w:hAnsi="Calibri"/>
        </w:rPr>
      </w:pPr>
    </w:p>
    <w:p w:rsidR="00541C11" w:rsidRPr="002C4041" w:rsidRDefault="00541C11" w:rsidP="00541C11">
      <w:pPr>
        <w:rPr>
          <w:rFonts w:ascii="Calibri" w:hAnsi="Calibri"/>
        </w:rPr>
      </w:pPr>
      <w:r w:rsidRPr="002C4041">
        <w:rPr>
          <w:rFonts w:ascii="Calibri" w:hAnsi="Calibri"/>
        </w:rPr>
        <w:t xml:space="preserve">The library, as a member of the Reaching </w:t>
      </w:r>
      <w:proofErr w:type="gramStart"/>
      <w:r w:rsidRPr="002C4041">
        <w:rPr>
          <w:rFonts w:ascii="Calibri" w:hAnsi="Calibri"/>
        </w:rPr>
        <w:t>Across</w:t>
      </w:r>
      <w:proofErr w:type="gramEnd"/>
      <w:r w:rsidRPr="002C4041">
        <w:rPr>
          <w:rFonts w:ascii="Calibri" w:hAnsi="Calibri"/>
        </w:rPr>
        <w:t xml:space="preserve"> Illinois Systems (RAILS) participates in reciprocal borrowing.</w:t>
      </w:r>
      <w:r w:rsidR="006D61F1">
        <w:rPr>
          <w:rFonts w:ascii="Calibri" w:hAnsi="Calibri"/>
        </w:rPr>
        <w:t xml:space="preserve"> </w:t>
      </w:r>
      <w:r w:rsidRPr="002C4041">
        <w:rPr>
          <w:rFonts w:ascii="Calibri" w:hAnsi="Calibri"/>
        </w:rPr>
        <w:t xml:space="preserve">It is sometimes necessary for libraries to share information with each </w:t>
      </w:r>
      <w:r w:rsidRPr="002C4041">
        <w:rPr>
          <w:rFonts w:ascii="Calibri" w:hAnsi="Calibri"/>
        </w:rPr>
        <w:lastRenderedPageBreak/>
        <w:t xml:space="preserve">other to be able to provide service to the </w:t>
      </w:r>
      <w:r w:rsidR="000D5C53">
        <w:rPr>
          <w:rFonts w:ascii="Calibri" w:hAnsi="Calibri"/>
        </w:rPr>
        <w:t>customer</w:t>
      </w:r>
      <w:r w:rsidR="000D5C53" w:rsidRPr="002C4041">
        <w:rPr>
          <w:rFonts w:ascii="Calibri" w:hAnsi="Calibri"/>
        </w:rPr>
        <w:t xml:space="preserve"> </w:t>
      </w:r>
      <w:r w:rsidRPr="002C4041">
        <w:rPr>
          <w:rFonts w:ascii="Calibri" w:hAnsi="Calibri"/>
        </w:rPr>
        <w:t xml:space="preserve">and to collect outstanding materials and fines owed. The library will honor requests from other libraries that need this information.  Implicit in a </w:t>
      </w:r>
      <w:r w:rsidR="006D61F1">
        <w:rPr>
          <w:rFonts w:ascii="Calibri" w:hAnsi="Calibri"/>
        </w:rPr>
        <w:t>customer</w:t>
      </w:r>
      <w:r w:rsidR="006D61F1" w:rsidRPr="002C4041">
        <w:rPr>
          <w:rFonts w:ascii="Calibri" w:hAnsi="Calibri"/>
        </w:rPr>
        <w:t xml:space="preserve">’s </w:t>
      </w:r>
      <w:r w:rsidRPr="002C4041">
        <w:rPr>
          <w:rFonts w:ascii="Calibri" w:hAnsi="Calibri"/>
        </w:rPr>
        <w:t xml:space="preserve">agreement to participate in the reciprocal borrowing program is the </w:t>
      </w:r>
      <w:r w:rsidR="006D61F1">
        <w:rPr>
          <w:rFonts w:ascii="Calibri" w:hAnsi="Calibri"/>
        </w:rPr>
        <w:t>customer</w:t>
      </w:r>
      <w:r w:rsidR="006D61F1" w:rsidRPr="002C4041">
        <w:rPr>
          <w:rFonts w:ascii="Calibri" w:hAnsi="Calibri"/>
        </w:rPr>
        <w:t xml:space="preserve">’s </w:t>
      </w:r>
      <w:r w:rsidRPr="002C4041">
        <w:rPr>
          <w:rFonts w:ascii="Calibri" w:hAnsi="Calibri"/>
        </w:rPr>
        <w:t>consent for the various libraries involved to exchange pertinent information as may be necessary to retrieve library materials.</w:t>
      </w:r>
    </w:p>
    <w:p w:rsidR="00541C11" w:rsidRPr="002C4041" w:rsidRDefault="00541C11" w:rsidP="00541C11">
      <w:pPr>
        <w:rPr>
          <w:rFonts w:ascii="Calibri" w:hAnsi="Calibri"/>
        </w:rPr>
      </w:pPr>
    </w:p>
    <w:p w:rsidR="00541C11" w:rsidRPr="002C4041" w:rsidRDefault="00541C11" w:rsidP="00541C11">
      <w:pPr>
        <w:rPr>
          <w:rFonts w:ascii="Calibri" w:hAnsi="Calibri"/>
        </w:rPr>
      </w:pPr>
      <w:r>
        <w:rPr>
          <w:rFonts w:ascii="Calibri" w:hAnsi="Calibri"/>
        </w:rPr>
        <w:t>The library also has a recip</w:t>
      </w:r>
      <w:r w:rsidRPr="002C4041">
        <w:rPr>
          <w:rFonts w:ascii="Calibri" w:hAnsi="Calibri"/>
        </w:rPr>
        <w:t xml:space="preserve">rocal agreement with the </w:t>
      </w:r>
      <w:proofErr w:type="gramStart"/>
      <w:r w:rsidRPr="002C4041">
        <w:rPr>
          <w:rFonts w:ascii="Calibri" w:hAnsi="Calibri"/>
        </w:rPr>
        <w:t>schools which</w:t>
      </w:r>
      <w:proofErr w:type="gramEnd"/>
      <w:r w:rsidRPr="002C4041">
        <w:rPr>
          <w:rFonts w:ascii="Calibri" w:hAnsi="Calibri"/>
        </w:rPr>
        <w:t xml:space="preserve"> allows sharing of information to retrieve materials and provide service to </w:t>
      </w:r>
      <w:r w:rsidR="002E2F2E">
        <w:rPr>
          <w:rFonts w:ascii="Calibri" w:hAnsi="Calibri"/>
        </w:rPr>
        <w:t>customers</w:t>
      </w:r>
      <w:r w:rsidRPr="002C4041">
        <w:rPr>
          <w:rFonts w:ascii="Calibri" w:hAnsi="Calibri"/>
        </w:rPr>
        <w:t>.</w:t>
      </w:r>
    </w:p>
    <w:p w:rsidR="00541C11" w:rsidRPr="002C4041" w:rsidRDefault="00541C11" w:rsidP="00541C11">
      <w:pPr>
        <w:rPr>
          <w:rFonts w:ascii="Calibri" w:hAnsi="Calibri"/>
        </w:rPr>
      </w:pPr>
    </w:p>
    <w:p w:rsidR="00541C11" w:rsidRDefault="00541C11" w:rsidP="00541C11">
      <w:pPr>
        <w:rPr>
          <w:rFonts w:ascii="Calibri" w:hAnsi="Calibri"/>
        </w:rPr>
      </w:pPr>
    </w:p>
    <w:p w:rsidR="00541C11" w:rsidRDefault="00541C11" w:rsidP="00541C11">
      <w:pPr>
        <w:rPr>
          <w:rFonts w:ascii="Calibri" w:hAnsi="Calibri"/>
        </w:rPr>
      </w:pPr>
    </w:p>
    <w:p w:rsidR="00541C11" w:rsidRDefault="00541C11" w:rsidP="00541C11">
      <w:pPr>
        <w:rPr>
          <w:rFonts w:ascii="Calibri" w:hAnsi="Calibri"/>
        </w:rPr>
      </w:pPr>
    </w:p>
    <w:p w:rsidR="001A4881" w:rsidRPr="00541C11" w:rsidRDefault="00541C11">
      <w:pPr>
        <w:rPr>
          <w:rFonts w:asciiTheme="majorHAnsi" w:hAnsiTheme="majorHAnsi"/>
        </w:rPr>
      </w:pPr>
      <w:r w:rsidRPr="002C4041">
        <w:rPr>
          <w:rFonts w:ascii="Calibri" w:hAnsi="Calibri"/>
        </w:rPr>
        <w:t>As approved by the Board o</w:t>
      </w:r>
      <w:bookmarkStart w:id="2" w:name="_GoBack"/>
      <w:bookmarkEnd w:id="2"/>
      <w:r w:rsidRPr="002C4041">
        <w:rPr>
          <w:rFonts w:ascii="Calibri" w:hAnsi="Calibri"/>
        </w:rPr>
        <w:t xml:space="preserve">f Directors </w:t>
      </w:r>
      <w:r w:rsidR="002E2F2E">
        <w:rPr>
          <w:rFonts w:ascii="Calibri" w:hAnsi="Calibri"/>
        </w:rPr>
        <w:t>August 29</w:t>
      </w:r>
      <w:r w:rsidR="006D61F1">
        <w:rPr>
          <w:rFonts w:ascii="Calibri" w:hAnsi="Calibri"/>
        </w:rPr>
        <w:t>, 2018</w:t>
      </w:r>
    </w:p>
    <w:sectPr w:rsidR="001A4881" w:rsidRPr="0054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373"/>
    <w:multiLevelType w:val="hybridMultilevel"/>
    <w:tmpl w:val="B8C6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346C"/>
    <w:multiLevelType w:val="hybridMultilevel"/>
    <w:tmpl w:val="C106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31"/>
    <w:rsid w:val="000D5C53"/>
    <w:rsid w:val="001A4881"/>
    <w:rsid w:val="002E2F2E"/>
    <w:rsid w:val="00541C11"/>
    <w:rsid w:val="005468A5"/>
    <w:rsid w:val="006D61F1"/>
    <w:rsid w:val="007A2304"/>
    <w:rsid w:val="009B7358"/>
    <w:rsid w:val="00A10B31"/>
    <w:rsid w:val="00C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E4E5C-3123-4070-8C7D-6A787995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1C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C11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styleId="ListParagraph">
    <w:name w:val="List Paragraph"/>
    <w:basedOn w:val="Normal"/>
    <w:uiPriority w:val="34"/>
    <w:qFormat/>
    <w:rsid w:val="006D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Library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Haberkern, Michaela</dc:creator>
  <cp:keywords/>
  <dc:description/>
  <cp:lastModifiedBy>Haberkern, Michaela</cp:lastModifiedBy>
  <cp:revision>3</cp:revision>
  <cp:lastPrinted>2018-08-23T21:05:00Z</cp:lastPrinted>
  <dcterms:created xsi:type="dcterms:W3CDTF">2018-08-23T21:05:00Z</dcterms:created>
  <dcterms:modified xsi:type="dcterms:W3CDTF">2018-08-23T21:06:00Z</dcterms:modified>
</cp:coreProperties>
</file>